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575" w:type="dxa"/>
        <w:tblLook w:val="04A0" w:firstRow="1" w:lastRow="0" w:firstColumn="1" w:lastColumn="0" w:noHBand="0" w:noVBand="1"/>
      </w:tblPr>
      <w:tblGrid>
        <w:gridCol w:w="4094"/>
        <w:gridCol w:w="3193"/>
        <w:gridCol w:w="222"/>
        <w:gridCol w:w="5086"/>
        <w:gridCol w:w="280"/>
        <w:gridCol w:w="3700"/>
      </w:tblGrid>
      <w:tr w:rsidR="004076EE" w:rsidRPr="004076EE" w:rsidTr="00615DC4">
        <w:trPr>
          <w:trHeight w:val="420"/>
        </w:trPr>
        <w:tc>
          <w:tcPr>
            <w:tcW w:w="12595" w:type="dxa"/>
            <w:gridSpan w:val="4"/>
            <w:noWrap/>
            <w:hideMark/>
          </w:tcPr>
          <w:p w:rsidR="004076EE" w:rsidRPr="004076EE" w:rsidRDefault="004076EE" w:rsidP="004076EE">
            <w:pPr>
              <w:rPr>
                <w:rFonts w:ascii="Calibri" w:eastAsia="Times New Roman" w:hAnsi="Calibri" w:cs="Times New Roman"/>
                <w:b/>
                <w:bCs/>
                <w:color w:val="000000"/>
                <w:szCs w:val="32"/>
                <w:lang w:eastAsia="en-GB"/>
              </w:rPr>
            </w:pPr>
            <w:r w:rsidRPr="004076EE">
              <w:rPr>
                <w:rFonts w:ascii="Calibri" w:eastAsia="Times New Roman" w:hAnsi="Calibri" w:cs="Times New Roman"/>
                <w:b/>
                <w:bCs/>
                <w:color w:val="000000"/>
                <w:szCs w:val="32"/>
                <w:lang w:eastAsia="en-GB"/>
              </w:rPr>
              <w:t>SW Women's Manifesto calls for action and Party Manifesto commitments</w:t>
            </w:r>
          </w:p>
        </w:tc>
        <w:tc>
          <w:tcPr>
            <w:tcW w:w="280" w:type="dxa"/>
            <w:noWrap/>
            <w:hideMark/>
          </w:tcPr>
          <w:p w:rsidR="004076EE" w:rsidRPr="004076EE" w:rsidRDefault="004076EE" w:rsidP="004076EE">
            <w:pPr>
              <w:rPr>
                <w:rFonts w:ascii="Calibri" w:eastAsia="Times New Roman" w:hAnsi="Calibri" w:cs="Times New Roman"/>
                <w:b/>
                <w:bCs/>
                <w:color w:val="000000"/>
                <w:szCs w:val="32"/>
                <w:lang w:eastAsia="en-GB"/>
              </w:rPr>
            </w:pPr>
          </w:p>
        </w:tc>
        <w:tc>
          <w:tcPr>
            <w:tcW w:w="3700" w:type="dxa"/>
            <w:noWrap/>
            <w:hideMark/>
          </w:tcPr>
          <w:p w:rsidR="004076EE" w:rsidRPr="004076EE" w:rsidRDefault="004076EE" w:rsidP="004076EE">
            <w:pPr>
              <w:rPr>
                <w:rFonts w:ascii="Calibri" w:eastAsia="Times New Roman" w:hAnsi="Calibri" w:cs="Times New Roman"/>
                <w:b/>
                <w:bCs/>
                <w:color w:val="000000"/>
                <w:szCs w:val="32"/>
                <w:lang w:eastAsia="en-GB"/>
              </w:rPr>
            </w:pPr>
          </w:p>
        </w:tc>
      </w:tr>
      <w:tr w:rsidR="004076EE" w:rsidRPr="004076EE" w:rsidTr="00615DC4">
        <w:trPr>
          <w:trHeight w:val="300"/>
        </w:trPr>
        <w:tc>
          <w:tcPr>
            <w:tcW w:w="4094" w:type="dxa"/>
            <w:noWrap/>
            <w:hideMark/>
          </w:tcPr>
          <w:p w:rsidR="004076EE" w:rsidRPr="004076EE" w:rsidRDefault="004076EE" w:rsidP="004076EE">
            <w:pPr>
              <w:rPr>
                <w:rFonts w:ascii="Calibri" w:eastAsia="Times New Roman" w:hAnsi="Calibri" w:cs="Times New Roman"/>
                <w:b/>
                <w:bCs/>
                <w:color w:val="000000"/>
                <w:lang w:eastAsia="en-GB"/>
              </w:rPr>
            </w:pP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315"/>
        </w:trPr>
        <w:tc>
          <w:tcPr>
            <w:tcW w:w="4094" w:type="dxa"/>
            <w:noWrap/>
            <w:hideMark/>
          </w:tcPr>
          <w:p w:rsidR="004076EE" w:rsidRPr="004076EE" w:rsidRDefault="004076EE" w:rsidP="004076EE">
            <w:pPr>
              <w:rPr>
                <w:rFonts w:ascii="Calibri" w:eastAsia="Times New Roman" w:hAnsi="Calibri" w:cs="Times New Roman"/>
                <w:b/>
                <w:bCs/>
                <w:color w:val="000000"/>
                <w:szCs w:val="24"/>
                <w:lang w:eastAsia="en-GB"/>
              </w:rPr>
            </w:pPr>
            <w:r w:rsidRPr="004076EE">
              <w:rPr>
                <w:rFonts w:ascii="Calibri" w:eastAsia="Times New Roman" w:hAnsi="Calibri" w:cs="Times New Roman"/>
                <w:b/>
                <w:bCs/>
                <w:color w:val="000000"/>
                <w:szCs w:val="24"/>
                <w:lang w:eastAsia="en-GB"/>
              </w:rPr>
              <w:t>SW Women's Manifesto Aim</w:t>
            </w:r>
          </w:p>
        </w:tc>
        <w:tc>
          <w:tcPr>
            <w:tcW w:w="3415" w:type="dxa"/>
            <w:gridSpan w:val="2"/>
            <w:noWrap/>
            <w:hideMark/>
          </w:tcPr>
          <w:p w:rsidR="004076EE" w:rsidRPr="004076EE" w:rsidRDefault="004076EE" w:rsidP="004076EE">
            <w:pPr>
              <w:rPr>
                <w:rFonts w:ascii="Calibri" w:eastAsia="Times New Roman" w:hAnsi="Calibri" w:cs="Times New Roman"/>
                <w:b/>
                <w:bCs/>
                <w:color w:val="000000"/>
                <w:szCs w:val="24"/>
                <w:lang w:eastAsia="en-GB"/>
              </w:rPr>
            </w:pPr>
            <w:r w:rsidRPr="004076EE">
              <w:rPr>
                <w:rFonts w:ascii="Calibri" w:eastAsia="Times New Roman" w:hAnsi="Calibri" w:cs="Times New Roman"/>
                <w:b/>
                <w:bCs/>
                <w:color w:val="000000"/>
                <w:szCs w:val="24"/>
                <w:lang w:eastAsia="en-GB"/>
              </w:rPr>
              <w:t>Party Manifesto Commitments</w:t>
            </w:r>
          </w:p>
        </w:tc>
        <w:tc>
          <w:tcPr>
            <w:tcW w:w="5086"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3700" w:type="dxa"/>
            <w:noWrap/>
            <w:hideMark/>
          </w:tcPr>
          <w:p w:rsidR="004076EE" w:rsidRPr="004076EE" w:rsidRDefault="004076EE" w:rsidP="004076EE">
            <w:pPr>
              <w:rPr>
                <w:rFonts w:ascii="Calibri" w:eastAsia="Times New Roman" w:hAnsi="Calibri" w:cs="Times New Roman"/>
                <w:b/>
                <w:bCs/>
                <w:color w:val="000000"/>
                <w:szCs w:val="24"/>
                <w:lang w:eastAsia="en-GB"/>
              </w:rPr>
            </w:pPr>
          </w:p>
        </w:tc>
      </w:tr>
      <w:tr w:rsidR="004076EE" w:rsidRPr="004076EE" w:rsidTr="00615DC4">
        <w:trPr>
          <w:trHeight w:val="315"/>
        </w:trPr>
        <w:tc>
          <w:tcPr>
            <w:tcW w:w="4094" w:type="dxa"/>
            <w:noWrap/>
            <w:hideMark/>
          </w:tcPr>
          <w:p w:rsidR="004076EE" w:rsidRPr="004076EE" w:rsidRDefault="004076EE" w:rsidP="004076EE">
            <w:pPr>
              <w:rPr>
                <w:rFonts w:ascii="Calibri" w:eastAsia="Times New Roman" w:hAnsi="Calibri" w:cs="Times New Roman"/>
                <w:b/>
                <w:bCs/>
                <w:color w:val="000000"/>
                <w:szCs w:val="24"/>
                <w:lang w:eastAsia="en-GB"/>
              </w:rPr>
            </w:pPr>
            <w:bookmarkStart w:id="0" w:name="_GoBack"/>
            <w:bookmarkEnd w:id="0"/>
          </w:p>
        </w:tc>
        <w:tc>
          <w:tcPr>
            <w:tcW w:w="3193" w:type="dxa"/>
            <w:noWrap/>
            <w:hideMark/>
          </w:tcPr>
          <w:p w:rsidR="004076EE" w:rsidRPr="004076EE" w:rsidRDefault="004076EE" w:rsidP="004076EE">
            <w:pPr>
              <w:rPr>
                <w:rFonts w:eastAsia="Times New Roman" w:cs="Arial"/>
                <w:b/>
                <w:bCs/>
                <w:color w:val="3D3C3B"/>
                <w:szCs w:val="24"/>
                <w:lang w:eastAsia="en-GB"/>
              </w:rPr>
            </w:pPr>
            <w:r w:rsidRPr="004076EE">
              <w:rPr>
                <w:rFonts w:eastAsia="Times New Roman" w:cs="Arial"/>
                <w:b/>
                <w:bCs/>
                <w:color w:val="3D3C3B"/>
                <w:szCs w:val="24"/>
                <w:lang w:eastAsia="en-GB"/>
              </w:rPr>
              <w:t>Conservative</w:t>
            </w:r>
          </w:p>
        </w:tc>
        <w:tc>
          <w:tcPr>
            <w:tcW w:w="222"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5086" w:type="dxa"/>
            <w:noWrap/>
            <w:hideMark/>
          </w:tcPr>
          <w:p w:rsidR="004076EE" w:rsidRPr="004076EE" w:rsidRDefault="004076EE" w:rsidP="004076EE">
            <w:pPr>
              <w:rPr>
                <w:rFonts w:ascii="Calibri" w:eastAsia="Times New Roman" w:hAnsi="Calibri" w:cs="Times New Roman"/>
                <w:b/>
                <w:bCs/>
                <w:color w:val="000000"/>
                <w:szCs w:val="24"/>
                <w:lang w:eastAsia="en-GB"/>
              </w:rPr>
            </w:pPr>
            <w:r w:rsidRPr="004076EE">
              <w:rPr>
                <w:rFonts w:ascii="Calibri" w:eastAsia="Times New Roman" w:hAnsi="Calibri" w:cs="Times New Roman"/>
                <w:b/>
                <w:bCs/>
                <w:color w:val="000000"/>
                <w:szCs w:val="24"/>
                <w:lang w:eastAsia="en-GB"/>
              </w:rPr>
              <w:t>Labour</w:t>
            </w:r>
          </w:p>
        </w:tc>
        <w:tc>
          <w:tcPr>
            <w:tcW w:w="280"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3700" w:type="dxa"/>
            <w:noWrap/>
            <w:hideMark/>
          </w:tcPr>
          <w:p w:rsidR="004076EE" w:rsidRPr="004076EE" w:rsidRDefault="004076EE" w:rsidP="004076EE">
            <w:pPr>
              <w:rPr>
                <w:rFonts w:ascii="Calibri" w:eastAsia="Times New Roman" w:hAnsi="Calibri" w:cs="Times New Roman"/>
                <w:b/>
                <w:bCs/>
                <w:color w:val="000000"/>
                <w:szCs w:val="24"/>
                <w:lang w:eastAsia="en-GB"/>
              </w:rPr>
            </w:pPr>
            <w:r w:rsidRPr="004076EE">
              <w:rPr>
                <w:rFonts w:ascii="Calibri" w:eastAsia="Times New Roman" w:hAnsi="Calibri" w:cs="Times New Roman"/>
                <w:b/>
                <w:bCs/>
                <w:color w:val="000000"/>
                <w:szCs w:val="24"/>
                <w:lang w:eastAsia="en-GB"/>
              </w:rPr>
              <w:t>Lib Dem</w:t>
            </w:r>
          </w:p>
        </w:tc>
      </w:tr>
      <w:tr w:rsidR="004076EE" w:rsidRPr="004076EE" w:rsidTr="00615DC4">
        <w:trPr>
          <w:trHeight w:val="4200"/>
        </w:trPr>
        <w:tc>
          <w:tcPr>
            <w:tcW w:w="4094" w:type="dxa"/>
            <w:hideMark/>
          </w:tcPr>
          <w:p w:rsidR="004076EE" w:rsidRPr="004076EE" w:rsidRDefault="004076EE" w:rsidP="004076EE">
            <w:pPr>
              <w:rPr>
                <w:rFonts w:eastAsia="Times New Roman" w:cs="Arial"/>
                <w:b/>
                <w:bCs/>
                <w:color w:val="000000"/>
                <w:szCs w:val="24"/>
                <w:u w:val="single"/>
                <w:lang w:eastAsia="en-GB"/>
              </w:rPr>
            </w:pPr>
            <w:r w:rsidRPr="004076EE">
              <w:rPr>
                <w:rFonts w:eastAsia="Times New Roman" w:cs="Arial"/>
                <w:b/>
                <w:bCs/>
                <w:color w:val="000000"/>
                <w:szCs w:val="24"/>
                <w:u w:val="single"/>
                <w:lang w:eastAsia="en-GB"/>
              </w:rPr>
              <w:t xml:space="preserve">Overall: to reduce women's </w:t>
            </w:r>
            <w:r w:rsidRPr="004076EE">
              <w:rPr>
                <w:rFonts w:eastAsia="Times New Roman" w:cs="Arial"/>
                <w:b/>
                <w:bCs/>
                <w:color w:val="000000"/>
                <w:szCs w:val="24"/>
                <w:u w:val="single"/>
                <w:lang w:eastAsia="en-GB"/>
              </w:rPr>
              <w:br/>
              <w:t>inequality in their safety, their health, their power and their economic position</w:t>
            </w:r>
          </w:p>
        </w:tc>
        <w:tc>
          <w:tcPr>
            <w:tcW w:w="3193" w:type="dxa"/>
            <w:hideMark/>
          </w:tcPr>
          <w:p w:rsidR="004076EE" w:rsidRPr="004076EE" w:rsidRDefault="004076EE" w:rsidP="004076EE">
            <w:pPr>
              <w:rPr>
                <w:rFonts w:ascii="Times New Roman" w:eastAsia="Times New Roman" w:hAnsi="Times New Roman" w:cs="Times New Roman"/>
                <w:color w:val="3D3C3B"/>
                <w:lang w:eastAsia="en-GB"/>
              </w:rPr>
            </w:pPr>
            <w:r w:rsidRPr="004076EE">
              <w:rPr>
                <w:rFonts w:ascii="Times New Roman" w:eastAsia="Times New Roman" w:hAnsi="Times New Roman" w:cs="Times New Roman"/>
                <w:color w:val="3D3C3B"/>
                <w:lang w:eastAsia="en-GB"/>
              </w:rPr>
              <w:t xml:space="preserve">“The next Conservative Government </w:t>
            </w:r>
            <w:r w:rsidRPr="004076EE">
              <w:rPr>
                <w:rFonts w:ascii="Times New Roman" w:eastAsia="Times New Roman" w:hAnsi="Times New Roman" w:cs="Times New Roman"/>
                <w:color w:val="3D3C3B"/>
                <w:lang w:eastAsia="en-GB"/>
              </w:rPr>
              <w:br/>
              <w:t>will scrap the Human Rights Act, and introduce a British Bill of Rights.” P60</w:t>
            </w:r>
          </w:p>
        </w:tc>
        <w:tc>
          <w:tcPr>
            <w:tcW w:w="222"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“The next Labour </w:t>
            </w:r>
            <w:r w:rsidRPr="004076EE">
              <w:rPr>
                <w:rFonts w:eastAsia="Times New Roman" w:cs="Arial"/>
                <w:color w:val="000000"/>
                <w:szCs w:val="24"/>
                <w:lang w:eastAsia="en-GB"/>
              </w:rPr>
              <w:br/>
              <w:t>Government will go further in reducing discrimination against women, requiring large companies to publish their gender pay gap and strengthening the law against maternity discrimination. Where there is evidence more progress is needed, we will enforce the relevant provisions within the Equality Act.” P(67)</w:t>
            </w:r>
          </w:p>
        </w:tc>
        <w:tc>
          <w:tcPr>
            <w:tcW w:w="280"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enact the remaining </w:t>
            </w:r>
            <w:r w:rsidRPr="004076EE">
              <w:rPr>
                <w:rFonts w:eastAsia="Times New Roman" w:cs="Arial"/>
                <w:color w:val="000000"/>
                <w:szCs w:val="24"/>
                <w:lang w:eastAsia="en-GB"/>
              </w:rPr>
              <w:br/>
              <w:t xml:space="preserve">unimplemented clauses of the Equality Act 2010.”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105)</w:t>
            </w:r>
            <w:r w:rsidRPr="004076EE">
              <w:rPr>
                <w:rFonts w:eastAsia="Times New Roman" w:cs="Arial"/>
                <w:color w:val="000000"/>
                <w:szCs w:val="24"/>
                <w:lang w:eastAsia="en-GB"/>
              </w:rPr>
              <w:br/>
              <w:t>Maintain the Public Sector Equality Duty and encourage external providers to the public sector to follow best practice in terms of diversity.” P(109)</w:t>
            </w:r>
          </w:p>
        </w:tc>
      </w:tr>
    </w:tbl>
    <w:p w:rsidR="00615DC4" w:rsidRPr="003B40EE" w:rsidRDefault="00615DC4">
      <w:pPr>
        <w:rPr>
          <w:sz w:val="22"/>
        </w:rPr>
      </w:pPr>
      <w:r w:rsidRPr="003B40EE">
        <w:rPr>
          <w:sz w:val="22"/>
        </w:rPr>
        <w:br w:type="page"/>
      </w:r>
    </w:p>
    <w:tbl>
      <w:tblPr>
        <w:tblStyle w:val="TableGrid"/>
        <w:tblW w:w="16575" w:type="dxa"/>
        <w:tblLook w:val="04A0" w:firstRow="1" w:lastRow="0" w:firstColumn="1" w:lastColumn="0" w:noHBand="0" w:noVBand="1"/>
      </w:tblPr>
      <w:tblGrid>
        <w:gridCol w:w="4094"/>
        <w:gridCol w:w="3193"/>
        <w:gridCol w:w="222"/>
        <w:gridCol w:w="5086"/>
        <w:gridCol w:w="280"/>
        <w:gridCol w:w="3700"/>
      </w:tblGrid>
      <w:tr w:rsidR="004076EE" w:rsidRPr="004076EE" w:rsidTr="00615DC4">
        <w:trPr>
          <w:trHeight w:val="900"/>
        </w:trPr>
        <w:tc>
          <w:tcPr>
            <w:tcW w:w="4094" w:type="dxa"/>
            <w:hideMark/>
          </w:tcPr>
          <w:p w:rsidR="004076EE" w:rsidRPr="003B40EE" w:rsidRDefault="004076EE" w:rsidP="004076EE">
            <w:pPr>
              <w:rPr>
                <w:rFonts w:eastAsia="Times New Roman" w:cs="Arial"/>
                <w:b/>
                <w:color w:val="000000"/>
                <w:szCs w:val="24"/>
                <w:u w:val="single"/>
                <w:lang w:eastAsia="en-GB"/>
              </w:rPr>
            </w:pPr>
            <w:r w:rsidRPr="004076EE">
              <w:rPr>
                <w:rFonts w:eastAsia="Times New Roman" w:cs="Arial"/>
                <w:b/>
                <w:color w:val="000000"/>
                <w:szCs w:val="24"/>
                <w:u w:val="single"/>
                <w:lang w:eastAsia="en-GB"/>
              </w:rPr>
              <w:lastRenderedPageBreak/>
              <w:t xml:space="preserve">To improve women’s access </w:t>
            </w:r>
            <w:r w:rsidRPr="004076EE">
              <w:rPr>
                <w:rFonts w:eastAsia="Times New Roman" w:cs="Arial"/>
                <w:b/>
                <w:color w:val="000000"/>
                <w:szCs w:val="24"/>
                <w:u w:val="single"/>
                <w:lang w:eastAsia="en-GB"/>
              </w:rPr>
              <w:br/>
              <w:t>to jobs with adequate hours and decent pay:</w:t>
            </w:r>
          </w:p>
          <w:p w:rsidR="00615DC4" w:rsidRPr="004076EE" w:rsidRDefault="00615DC4" w:rsidP="004076EE">
            <w:pPr>
              <w:rPr>
                <w:rFonts w:eastAsia="Times New Roman" w:cs="Arial"/>
                <w:color w:val="000000"/>
                <w:szCs w:val="24"/>
                <w:u w:val="single"/>
                <w:lang w:eastAsia="en-GB"/>
              </w:rPr>
            </w:pPr>
          </w:p>
        </w:tc>
        <w:tc>
          <w:tcPr>
            <w:tcW w:w="3193" w:type="dxa"/>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5086" w:type="dxa"/>
            <w:hideMark/>
          </w:tcPr>
          <w:p w:rsidR="004076EE" w:rsidRPr="004076EE" w:rsidRDefault="004076EE" w:rsidP="004076EE">
            <w:pPr>
              <w:rPr>
                <w:rFonts w:eastAsia="Times New Roman" w:cs="Arial"/>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3700" w:type="dxa"/>
            <w:hideMark/>
          </w:tcPr>
          <w:p w:rsidR="004076EE" w:rsidRPr="004076EE" w:rsidRDefault="004076EE" w:rsidP="004076EE">
            <w:pPr>
              <w:rPr>
                <w:rFonts w:eastAsia="Times New Roman" w:cs="Arial"/>
                <w:color w:val="000000"/>
                <w:szCs w:val="24"/>
                <w:lang w:eastAsia="en-GB"/>
              </w:rPr>
            </w:pPr>
          </w:p>
        </w:tc>
      </w:tr>
      <w:tr w:rsidR="004076EE" w:rsidRPr="004076EE" w:rsidTr="00615DC4">
        <w:trPr>
          <w:trHeight w:val="315"/>
        </w:trPr>
        <w:tc>
          <w:tcPr>
            <w:tcW w:w="4094" w:type="dxa"/>
            <w:noWrap/>
            <w:hideMark/>
          </w:tcPr>
          <w:p w:rsidR="004076EE" w:rsidRPr="004076EE" w:rsidRDefault="004076EE" w:rsidP="004076EE">
            <w:pPr>
              <w:rPr>
                <w:rFonts w:ascii="Calibri" w:eastAsia="Times New Roman" w:hAnsi="Calibri" w:cs="Times New Roman"/>
                <w:b/>
                <w:bCs/>
                <w:color w:val="000000"/>
                <w:szCs w:val="24"/>
                <w:lang w:eastAsia="en-GB"/>
              </w:rPr>
            </w:pPr>
            <w:r w:rsidRPr="004076EE">
              <w:rPr>
                <w:rFonts w:ascii="Calibri" w:eastAsia="Times New Roman" w:hAnsi="Calibri" w:cs="Times New Roman"/>
                <w:b/>
                <w:bCs/>
                <w:color w:val="000000"/>
                <w:szCs w:val="24"/>
                <w:lang w:eastAsia="en-GB"/>
              </w:rPr>
              <w:t>Calls for Action</w:t>
            </w:r>
          </w:p>
        </w:tc>
        <w:tc>
          <w:tcPr>
            <w:tcW w:w="3193" w:type="dxa"/>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5086" w:type="dxa"/>
            <w:hideMark/>
          </w:tcPr>
          <w:p w:rsidR="004076EE" w:rsidRPr="004076EE" w:rsidRDefault="004076EE" w:rsidP="004076EE">
            <w:pPr>
              <w:rPr>
                <w:rFonts w:eastAsia="Times New Roman" w:cs="Arial"/>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3700" w:type="dxa"/>
            <w:hideMark/>
          </w:tcPr>
          <w:p w:rsidR="004076EE" w:rsidRPr="004076EE" w:rsidRDefault="004076EE" w:rsidP="004076EE">
            <w:pPr>
              <w:rPr>
                <w:rFonts w:eastAsia="Times New Roman" w:cs="Arial"/>
                <w:color w:val="000000"/>
                <w:szCs w:val="24"/>
                <w:lang w:eastAsia="en-GB"/>
              </w:rPr>
            </w:pPr>
          </w:p>
        </w:tc>
      </w:tr>
      <w:tr w:rsidR="004076EE" w:rsidRPr="004076EE" w:rsidTr="00615DC4">
        <w:trPr>
          <w:trHeight w:val="45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 The introduction of a living wage </w:t>
            </w:r>
            <w:r w:rsidRPr="004076EE">
              <w:rPr>
                <w:rFonts w:eastAsia="Times New Roman" w:cs="Arial"/>
                <w:color w:val="000000"/>
                <w:szCs w:val="24"/>
                <w:lang w:eastAsia="en-GB"/>
              </w:rPr>
              <w:br/>
              <w:t xml:space="preserve">throughout the South West. </w:t>
            </w:r>
          </w:p>
        </w:tc>
        <w:tc>
          <w:tcPr>
            <w:tcW w:w="3193"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accept the </w:t>
            </w:r>
            <w:r w:rsidRPr="004076EE">
              <w:rPr>
                <w:rFonts w:eastAsia="Times New Roman" w:cs="Arial"/>
                <w:color w:val="000000"/>
                <w:szCs w:val="24"/>
                <w:lang w:eastAsia="en-GB"/>
              </w:rPr>
              <w:br/>
              <w:t xml:space="preserve">recommendations of the Low Pay Commission that the National Minimum Wage should </w:t>
            </w:r>
            <w:proofErr w:type="gramStart"/>
            <w:r w:rsidRPr="004076EE">
              <w:rPr>
                <w:rFonts w:eastAsia="Times New Roman" w:cs="Arial"/>
                <w:color w:val="000000"/>
                <w:szCs w:val="24"/>
                <w:lang w:eastAsia="en-GB"/>
              </w:rPr>
              <w:t>rise</w:t>
            </w:r>
            <w:proofErr w:type="gramEnd"/>
            <w:r w:rsidRPr="004076EE">
              <w:rPr>
                <w:rFonts w:eastAsia="Times New Roman" w:cs="Arial"/>
                <w:color w:val="000000"/>
                <w:szCs w:val="24"/>
                <w:lang w:eastAsia="en-GB"/>
              </w:rPr>
              <w:t xml:space="preserve"> to £6.70 this autumn, on course for a Minimum Wage that will be over £8 by the end of the decade.” P(21)</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raise the National </w:t>
            </w:r>
            <w:r w:rsidRPr="004076EE">
              <w:rPr>
                <w:rFonts w:eastAsia="Times New Roman" w:cs="Arial"/>
                <w:color w:val="000000"/>
                <w:szCs w:val="24"/>
                <w:lang w:eastAsia="en-GB"/>
              </w:rPr>
              <w:br/>
              <w:t xml:space="preserve">Minimum Wage to more than £8 an hour by October 2019, bringing it closer to average earnings. We will give local authorities a role in strengthening enforcement against those paying less than the legal amount. </w:t>
            </w:r>
            <w:r w:rsidRPr="004076EE">
              <w:rPr>
                <w:rFonts w:eastAsia="Times New Roman" w:cs="Arial"/>
                <w:color w:val="000000"/>
                <w:szCs w:val="24"/>
                <w:lang w:eastAsia="en-GB"/>
              </w:rPr>
              <w:br/>
              <w:t>And we will support employers to pay more by using government procurement to promote the Living Wage, alongside wider social impact considerations. Our Make Work Pay contracts will give tax rebates to businesses who sign up to paying the Living Wage in the first year of a Labour Government. Publicly listed companies will be required to report on whether or not they pay the Living Wage.” (P23)</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“Ask the Low Pay Commission </w:t>
            </w:r>
            <w:r w:rsidRPr="004076EE">
              <w:rPr>
                <w:rFonts w:eastAsia="Times New Roman" w:cs="Arial"/>
                <w:color w:val="000000"/>
                <w:szCs w:val="24"/>
                <w:lang w:eastAsia="en-GB"/>
              </w:rPr>
              <w:br/>
              <w:t xml:space="preserve">to look at ways of raising the National Minimum Wage, without damaging employment opportunities.”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47)</w:t>
            </w:r>
            <w:r w:rsidRPr="004076EE">
              <w:rPr>
                <w:rFonts w:eastAsia="Times New Roman" w:cs="Arial"/>
                <w:color w:val="000000"/>
                <w:szCs w:val="24"/>
                <w:lang w:eastAsia="en-GB"/>
              </w:rPr>
              <w:br/>
              <w:t xml:space="preserve">“Establish an independent review </w:t>
            </w:r>
            <w:r w:rsidRPr="004076EE">
              <w:rPr>
                <w:rFonts w:eastAsia="Times New Roman" w:cs="Arial"/>
                <w:color w:val="000000"/>
                <w:szCs w:val="24"/>
                <w:lang w:eastAsia="en-GB"/>
              </w:rPr>
              <w:br/>
              <w:t>to consult on how to set a fair Living Wage across all sectors. We will pay this Living Wage in all central government departments and their agencies from April 2016, and encourage other public sector employers to do likewise” P(48)</w:t>
            </w:r>
          </w:p>
        </w:tc>
      </w:tr>
      <w:tr w:rsidR="004076EE" w:rsidRPr="004076EE" w:rsidTr="00615DC4">
        <w:trPr>
          <w:trHeight w:val="2967"/>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2. Extension of the provision of </w:t>
            </w:r>
            <w:r w:rsidRPr="004076EE">
              <w:rPr>
                <w:rFonts w:eastAsia="Times New Roman" w:cs="Arial"/>
                <w:color w:val="000000"/>
                <w:szCs w:val="24"/>
                <w:lang w:eastAsia="en-GB"/>
              </w:rPr>
              <w:br/>
              <w:t>free childcare</w:t>
            </w:r>
            <w:proofErr w:type="gramStart"/>
            <w:r w:rsidRPr="004076EE">
              <w:rPr>
                <w:rFonts w:eastAsia="Times New Roman" w:cs="Arial"/>
                <w:color w:val="000000"/>
                <w:szCs w:val="24"/>
                <w:lang w:eastAsia="en-GB"/>
              </w:rPr>
              <w:t>;  quality</w:t>
            </w:r>
            <w:proofErr w:type="gramEnd"/>
            <w:r w:rsidRPr="004076EE">
              <w:rPr>
                <w:rFonts w:eastAsia="Times New Roman" w:cs="Arial"/>
                <w:color w:val="000000"/>
                <w:szCs w:val="24"/>
                <w:lang w:eastAsia="en-GB"/>
              </w:rPr>
              <w:t>, subsidised, affordable, local, flexible childcare to younger and older children; and care for vulnerable adults and the elderly.</w:t>
            </w:r>
          </w:p>
        </w:tc>
        <w:tc>
          <w:tcPr>
            <w:tcW w:w="3193"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w:t>
            </w:r>
            <w:proofErr w:type="gramStart"/>
            <w:r w:rsidRPr="004076EE">
              <w:rPr>
                <w:rFonts w:eastAsia="Times New Roman" w:cs="Arial"/>
                <w:color w:val="000000"/>
                <w:szCs w:val="24"/>
                <w:lang w:eastAsia="en-GB"/>
              </w:rPr>
              <w:t>in</w:t>
            </w:r>
            <w:proofErr w:type="gramEnd"/>
            <w:r w:rsidRPr="004076EE">
              <w:rPr>
                <w:rFonts w:eastAsia="Times New Roman" w:cs="Arial"/>
                <w:color w:val="000000"/>
                <w:szCs w:val="24"/>
                <w:lang w:eastAsia="en-GB"/>
              </w:rPr>
              <w:t xml:space="preserve"> the next Parliament we will </w:t>
            </w:r>
            <w:r w:rsidRPr="004076EE">
              <w:rPr>
                <w:rFonts w:eastAsia="Times New Roman" w:cs="Arial"/>
                <w:color w:val="000000"/>
                <w:szCs w:val="24"/>
                <w:lang w:eastAsia="en-GB"/>
              </w:rPr>
              <w:br/>
              <w:t>give families where all parents are working an entitlement to 30 hours of free childcare for their three and four year-olds.” P(27)</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“We will help families by expanding free childcare from 15 to 25 hours per week for working parents of three and four-year-olds, paid for with an increase in the bank levy” (P44</w:t>
            </w:r>
            <w:proofErr w:type="gramStart"/>
            <w:r w:rsidRPr="004076EE">
              <w:rPr>
                <w:rFonts w:eastAsia="Times New Roman" w:cs="Arial"/>
                <w:color w:val="000000"/>
                <w:szCs w:val="24"/>
                <w:lang w:eastAsia="en-GB"/>
              </w:rPr>
              <w:t>)</w:t>
            </w:r>
            <w:proofErr w:type="gramEnd"/>
            <w:r w:rsidRPr="004076EE">
              <w:rPr>
                <w:rFonts w:eastAsia="Times New Roman" w:cs="Arial"/>
                <w:color w:val="000000"/>
                <w:szCs w:val="24"/>
                <w:lang w:eastAsia="en-GB"/>
              </w:rPr>
              <w:br/>
              <w:t xml:space="preserve">“We will also introduce a legal guarantee for parents of primary school children to access wraparound childcare from 8am to 6pm through their local primary school.”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44)</w:t>
            </w:r>
            <w:r w:rsidRPr="004076EE">
              <w:rPr>
                <w:rFonts w:eastAsia="Times New Roman" w:cs="Arial"/>
                <w:color w:val="000000"/>
                <w:szCs w:val="24"/>
                <w:lang w:eastAsia="en-GB"/>
              </w:rPr>
              <w:br/>
              <w:t xml:space="preserve">• We will protect the Sure Start budget, and open up an additional 50,000 childcare places by requiring Sure Start children’s centres to offer childcare. </w:t>
            </w:r>
            <w:r w:rsidRPr="004076EE">
              <w:rPr>
                <w:rFonts w:eastAsia="Times New Roman" w:cs="Arial"/>
                <w:color w:val="000000"/>
                <w:szCs w:val="24"/>
                <w:lang w:eastAsia="en-GB"/>
              </w:rPr>
              <w:br/>
              <w:t xml:space="preserve">• Double paid paternity leave to four weeks, and </w:t>
            </w:r>
            <w:proofErr w:type="gramStart"/>
            <w:r w:rsidRPr="004076EE">
              <w:rPr>
                <w:rFonts w:eastAsia="Times New Roman" w:cs="Arial"/>
                <w:color w:val="000000"/>
                <w:szCs w:val="24"/>
                <w:lang w:eastAsia="en-GB"/>
              </w:rPr>
              <w:t>increase</w:t>
            </w:r>
            <w:proofErr w:type="gramEnd"/>
            <w:r w:rsidRPr="004076EE">
              <w:rPr>
                <w:rFonts w:eastAsia="Times New Roman" w:cs="Arial"/>
                <w:color w:val="000000"/>
                <w:szCs w:val="24"/>
                <w:lang w:eastAsia="en-GB"/>
              </w:rPr>
              <w:t xml:space="preserve"> the level of paternity pay to over £260 a week.</w:t>
            </w:r>
            <w:r w:rsidRPr="004076EE">
              <w:rPr>
                <w:rFonts w:eastAsia="Times New Roman" w:cs="Arial"/>
                <w:color w:val="000000"/>
                <w:szCs w:val="24"/>
                <w:lang w:eastAsia="en-GB"/>
              </w:rPr>
              <w:br/>
              <w:t xml:space="preserve">• Consult on allowing grandparents who want to be more involved in caring for their grandchildren to share in parents’ unpaid </w:t>
            </w:r>
            <w:r w:rsidRPr="004076EE">
              <w:rPr>
                <w:rFonts w:eastAsia="Times New Roman" w:cs="Arial"/>
                <w:color w:val="000000"/>
                <w:szCs w:val="24"/>
                <w:lang w:eastAsia="en-GB"/>
              </w:rPr>
              <w:lastRenderedPageBreak/>
              <w:t>parental leave, enabling them</w:t>
            </w:r>
            <w:r w:rsidRPr="004076EE">
              <w:rPr>
                <w:rFonts w:eastAsia="Times New Roman" w:cs="Arial"/>
                <w:color w:val="000000"/>
                <w:szCs w:val="24"/>
                <w:lang w:eastAsia="en-GB"/>
              </w:rPr>
              <w:br/>
              <w:t>to take time off work without fear of losing their job.(Women's Manifesto)</w:t>
            </w:r>
            <w:r w:rsidRPr="004076EE">
              <w:rPr>
                <w:rFonts w:eastAsia="Times New Roman" w:cs="Arial"/>
                <w:color w:val="000000"/>
                <w:szCs w:val="24"/>
                <w:lang w:eastAsia="en-GB"/>
              </w:rPr>
              <w:br/>
              <w:t xml:space="preserve">“Labour will end time-limited 15-minute visits, introducing year-of-care budgets to incentivise better care in the home. By stopping the use of zero-hours contracts, where regular hours are being worked, we will improve the working life of care workers.”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36)</w:t>
            </w:r>
            <w:r w:rsidRPr="004076EE">
              <w:rPr>
                <w:rFonts w:eastAsia="Times New Roman" w:cs="Arial"/>
                <w:color w:val="000000"/>
                <w:szCs w:val="24"/>
                <w:lang w:eastAsia="en-GB"/>
              </w:rPr>
              <w:br/>
              <w:t xml:space="preserve">“We will recruit 5,000 new home-care workers – a new arm of the NHS – to help care for those with the greatest needs at home.”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36)</w:t>
            </w:r>
            <w:r w:rsidRPr="004076EE">
              <w:rPr>
                <w:rFonts w:eastAsia="Times New Roman" w:cs="Arial"/>
                <w:color w:val="000000"/>
                <w:szCs w:val="24"/>
                <w:lang w:eastAsia="en-GB"/>
              </w:rPr>
              <w:br/>
              <w:t>Labour will introduce a new duty on NHS organisations to identify carers so that they can be linked up with the right support. We will ring-fence the money councils get for carers’ breaks to ensure this money gets spent on carers.” P(37)</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“Start by providing 15 hours a week of free childcare to the parents of all two-year olds. We will then prioritise 15 hours free childcare for all working parents with children aged between nine months and two years.” P(43)</w:t>
            </w:r>
            <w:r w:rsidRPr="004076EE">
              <w:rPr>
                <w:rFonts w:eastAsia="Times New Roman" w:cs="Arial"/>
                <w:color w:val="000000"/>
                <w:szCs w:val="24"/>
                <w:lang w:eastAsia="en-GB"/>
              </w:rPr>
              <w:br/>
              <w:t>“Complete the introduction of Tax-Free Childcare, which will provide up to £2,000 of childcare support for each child and include childcare support in Universal Credit, refunding 85% of childcare costs so work pays for low earners” P(43)</w:t>
            </w:r>
          </w:p>
        </w:tc>
      </w:tr>
      <w:tr w:rsidR="004076EE" w:rsidRPr="004076EE" w:rsidTr="00615DC4">
        <w:trPr>
          <w:trHeight w:val="695"/>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lastRenderedPageBreak/>
              <w:t xml:space="preserve">3. A re-introduction of free ‘English for </w:t>
            </w:r>
            <w:r w:rsidRPr="004076EE">
              <w:rPr>
                <w:rFonts w:eastAsia="Times New Roman" w:cs="Arial"/>
                <w:color w:val="000000"/>
                <w:szCs w:val="24"/>
                <w:lang w:eastAsia="en-GB"/>
              </w:rPr>
              <w:br/>
              <w:t>Speakers of Other Languages’ (ESOL) services for those whose poor level of English is restricting their access to decent jobs.</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Maintain funding for people to </w:t>
            </w:r>
            <w:r w:rsidRPr="004076EE">
              <w:rPr>
                <w:rFonts w:eastAsia="Times New Roman" w:cs="Arial"/>
                <w:color w:val="000000"/>
                <w:szCs w:val="24"/>
                <w:lang w:eastAsia="en-GB"/>
              </w:rPr>
              <w:br/>
              <w:t>develop and improve their English language skills to enable them to fully participate in society and achieve their potential.” P(108)</w:t>
            </w:r>
          </w:p>
        </w:tc>
      </w:tr>
      <w:tr w:rsidR="004076EE" w:rsidRPr="004076EE" w:rsidTr="003B40EE">
        <w:trPr>
          <w:trHeight w:val="6507"/>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lastRenderedPageBreak/>
              <w:t xml:space="preserve">4. Improved access to the means to </w:t>
            </w:r>
            <w:r w:rsidRPr="004076EE">
              <w:rPr>
                <w:rFonts w:eastAsia="Times New Roman" w:cs="Arial"/>
                <w:color w:val="000000"/>
                <w:szCs w:val="24"/>
                <w:lang w:eastAsia="en-GB"/>
              </w:rPr>
              <w:br/>
              <w:t>enforce equal pay legislation through making equal pay audits mandatory and eliminating tribunal charges for individuals taking discrimination cases to tribunal.</w:t>
            </w:r>
          </w:p>
        </w:tc>
        <w:tc>
          <w:tcPr>
            <w:tcW w:w="3193"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require companies </w:t>
            </w:r>
            <w:r w:rsidRPr="004076EE">
              <w:rPr>
                <w:rFonts w:eastAsia="Times New Roman" w:cs="Arial"/>
                <w:color w:val="000000"/>
                <w:szCs w:val="24"/>
                <w:lang w:eastAsia="en-GB"/>
              </w:rPr>
              <w:br/>
              <w:t>with more than 250 employees to publish the difference between the average pay of their male and female employees” P(19)</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abolish the </w:t>
            </w:r>
            <w:r w:rsidRPr="004076EE">
              <w:rPr>
                <w:rFonts w:eastAsia="Times New Roman" w:cs="Arial"/>
                <w:color w:val="000000"/>
                <w:szCs w:val="24"/>
                <w:lang w:eastAsia="en-GB"/>
              </w:rPr>
              <w:br/>
              <w:t xml:space="preserve">Government’s employment tribunal fee system as part of wider reforms to make sure that affordability is not a barrier to workers having proper access to justice, employers get a quicker resolution, and the costs to the tax payer do not rise.”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23)</w:t>
            </w:r>
            <w:r w:rsidRPr="004076EE">
              <w:rPr>
                <w:rFonts w:eastAsia="Times New Roman" w:cs="Arial"/>
                <w:color w:val="000000"/>
                <w:szCs w:val="24"/>
                <w:lang w:eastAsia="en-GB"/>
              </w:rPr>
              <w:br/>
              <w:t>• Strengthen the law against maternity</w:t>
            </w:r>
            <w:r w:rsidRPr="004076EE">
              <w:rPr>
                <w:rFonts w:eastAsia="Times New Roman" w:cs="Arial"/>
                <w:color w:val="000000"/>
                <w:szCs w:val="24"/>
                <w:lang w:eastAsia="en-GB"/>
              </w:rPr>
              <w:br/>
              <w:t>discrimination. (Women's Manifesto)</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“Ensure swift implementation of </w:t>
            </w:r>
            <w:r w:rsidRPr="004076EE">
              <w:rPr>
                <w:rFonts w:eastAsia="Times New Roman" w:cs="Arial"/>
                <w:color w:val="000000"/>
                <w:szCs w:val="24"/>
                <w:lang w:eastAsia="en-GB"/>
              </w:rPr>
              <w:br/>
              <w:t>the new rules requiring companies with more than 250 employees to publish details of the different pay levels of men and women in their organisation. We will build on this platform and, by 2020, extend transparency requirements to include publishing the number of people paid less than the Living Wage and the ratio between top and median pay. We will also consult on requirements for companies to conduct and publish a full equality pay review, and to consult staff on executive pay.” P(47)</w:t>
            </w:r>
            <w:r w:rsidRPr="004076EE">
              <w:rPr>
                <w:rFonts w:eastAsia="Times New Roman" w:cs="Arial"/>
                <w:color w:val="000000"/>
                <w:szCs w:val="24"/>
                <w:lang w:eastAsia="en-GB"/>
              </w:rPr>
              <w:br/>
              <w:t>“Improve the enforcement of employment rights, reviewing Employment Tribunal fees to ensure they are not a barrier” P(48)</w:t>
            </w:r>
          </w:p>
        </w:tc>
      </w:tr>
      <w:tr w:rsidR="004076EE" w:rsidRPr="004076EE" w:rsidTr="003B40EE">
        <w:trPr>
          <w:trHeight w:val="6082"/>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lastRenderedPageBreak/>
              <w:t xml:space="preserve">5. Improved access to well-paid </w:t>
            </w:r>
            <w:r w:rsidRPr="004076EE">
              <w:rPr>
                <w:rFonts w:eastAsia="Times New Roman" w:cs="Arial"/>
                <w:color w:val="000000"/>
                <w:szCs w:val="24"/>
                <w:lang w:eastAsia="en-GB"/>
              </w:rPr>
              <w:br/>
              <w:t xml:space="preserve">jobs through their local distribution, underpinned by a public transport system that facilitates the needs of working women and their childcare arrangements. </w:t>
            </w:r>
          </w:p>
        </w:tc>
        <w:tc>
          <w:tcPr>
            <w:tcW w:w="3193"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devolve far-reaching </w:t>
            </w:r>
            <w:r w:rsidRPr="004076EE">
              <w:rPr>
                <w:rFonts w:eastAsia="Times New Roman" w:cs="Arial"/>
                <w:color w:val="000000"/>
                <w:szCs w:val="24"/>
                <w:lang w:eastAsia="en-GB"/>
              </w:rPr>
              <w:br/>
              <w:t>powers over economic development, transport and social care to large cities which choose to have elected mayors” P(13)</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“City and county regions </w:t>
            </w:r>
            <w:r w:rsidRPr="004076EE">
              <w:rPr>
                <w:rFonts w:eastAsia="Times New Roman" w:cs="Arial"/>
                <w:color w:val="000000"/>
                <w:szCs w:val="24"/>
                <w:lang w:eastAsia="en-GB"/>
              </w:rPr>
              <w:br/>
              <w:t>will be given more power over the way buses are operated in their area. They will be able to decide routes, bear down on fares, drive improvements in services, and bring together trains, buses and trams into a single network with smart ticketing.” P(26)</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"Carry out a review of bus funding and bus policies and introduce a five-year investment plan to give the industry and Local Authorities certainty and help plan investment. We will support local areas that want to bring forward plans for regulating the bus network in their area. </w:t>
            </w:r>
            <w:r w:rsidRPr="004076EE">
              <w:rPr>
                <w:rFonts w:eastAsia="Times New Roman" w:cs="Arial"/>
                <w:color w:val="000000"/>
                <w:szCs w:val="24"/>
                <w:lang w:eastAsia="en-GB"/>
              </w:rPr>
              <w:br/>
              <w:t xml:space="preserve">Give new powers to Local Authorities and communities to improve transport in their areas, including the ability to introduce network-wide ticketing like in London.”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88)</w:t>
            </w:r>
            <w:r w:rsidRPr="004076EE">
              <w:rPr>
                <w:rFonts w:eastAsia="Times New Roman" w:cs="Arial"/>
                <w:color w:val="000000"/>
                <w:szCs w:val="24"/>
                <w:lang w:eastAsia="en-GB"/>
              </w:rPr>
              <w:br/>
              <w:t>Work with Local Authorities to integrate transport networks in rural areas, building on the work of Liberal Democrat Ministers’ Total Transport pilot”. P(89)</w:t>
            </w:r>
          </w:p>
        </w:tc>
      </w:tr>
      <w:tr w:rsidR="004076EE" w:rsidRPr="004076EE" w:rsidTr="00615DC4">
        <w:trPr>
          <w:trHeight w:val="15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6. A change in legislation from ‘the right to request’ to ’a right to have’ flexible working and the availability of all jobs on a flexible working basis, irrespective of industry and sector.</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Wingdings-Regular-Identity-H" w:eastAsia="Times New Roman" w:hAnsi="Wingdings-Regular-Identity-H" w:cs="Times New Roman"/>
                <w:color w:val="000000"/>
                <w:sz w:val="26"/>
                <w:szCs w:val="24"/>
                <w:lang w:eastAsia="en-GB"/>
              </w:rPr>
            </w:pPr>
          </w:p>
        </w:tc>
      </w:tr>
      <w:tr w:rsidR="004076EE" w:rsidRPr="004076EE" w:rsidTr="00615DC4">
        <w:trPr>
          <w:trHeight w:val="30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7. Revision of the use of zero hours </w:t>
            </w:r>
            <w:r w:rsidRPr="004076EE">
              <w:rPr>
                <w:rFonts w:eastAsia="Times New Roman" w:cs="Arial"/>
                <w:color w:val="000000"/>
                <w:szCs w:val="24"/>
                <w:lang w:eastAsia="en-GB"/>
              </w:rPr>
              <w:br/>
              <w:t>contracts by employers through, for example, contracts with guaranteed hours where a zero hours worker does regular shifts; and simplified employment law giving all workers the same basic employment rights.</w:t>
            </w:r>
          </w:p>
        </w:tc>
        <w:tc>
          <w:tcPr>
            <w:tcW w:w="3193"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also take further </w:t>
            </w:r>
            <w:r w:rsidRPr="004076EE">
              <w:rPr>
                <w:rFonts w:eastAsia="Times New Roman" w:cs="Arial"/>
                <w:color w:val="000000"/>
                <w:szCs w:val="24"/>
                <w:lang w:eastAsia="en-GB"/>
              </w:rPr>
              <w:br/>
              <w:t xml:space="preserve">steps to eradicate abuses of workers, such as non-payment of the Minimum Wage, exclusivity in </w:t>
            </w:r>
            <w:proofErr w:type="spellStart"/>
            <w:r w:rsidRPr="004076EE">
              <w:rPr>
                <w:rFonts w:eastAsia="Times New Roman" w:cs="Arial"/>
                <w:color w:val="000000"/>
                <w:szCs w:val="24"/>
                <w:lang w:eastAsia="en-GB"/>
              </w:rPr>
              <w:t>zerohours</w:t>
            </w:r>
            <w:proofErr w:type="spellEnd"/>
            <w:r w:rsidRPr="004076EE">
              <w:rPr>
                <w:rFonts w:eastAsia="Times New Roman" w:cs="Arial"/>
                <w:color w:val="000000"/>
                <w:szCs w:val="24"/>
                <w:lang w:eastAsia="en-GB"/>
              </w:rPr>
              <w:t xml:space="preserve"> contracts and exploitation of migrant workers.” P(21)</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“Labour will ban exploitative </w:t>
            </w:r>
            <w:r w:rsidRPr="004076EE">
              <w:rPr>
                <w:rFonts w:eastAsia="Times New Roman" w:cs="Arial"/>
                <w:color w:val="000000"/>
                <w:szCs w:val="24"/>
                <w:lang w:eastAsia="en-GB"/>
              </w:rPr>
              <w:br/>
              <w:t>zero-hours contracts. Those who work regular hours for more than 12 weeks will have a right to a regular contract. We will abolish the loophole that allows firms to undercut permanent staff by using agency workers on lower pay.” (P23)</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create a formal right to </w:t>
            </w:r>
            <w:r w:rsidRPr="004076EE">
              <w:rPr>
                <w:rFonts w:eastAsia="Times New Roman" w:cs="Arial"/>
                <w:color w:val="000000"/>
                <w:szCs w:val="24"/>
                <w:lang w:eastAsia="en-GB"/>
              </w:rPr>
              <w:br/>
              <w:t>request a fixed contract and consult on introducing a right to make regular patterns of work contractual after a period of time.” P(48)</w:t>
            </w:r>
          </w:p>
        </w:tc>
      </w:tr>
      <w:tr w:rsidR="004076EE" w:rsidRPr="004076EE" w:rsidTr="00615DC4">
        <w:trPr>
          <w:trHeight w:val="21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lastRenderedPageBreak/>
              <w:t xml:space="preserve">8. Improved careers guidance to </w:t>
            </w:r>
            <w:r w:rsidRPr="004076EE">
              <w:rPr>
                <w:rFonts w:eastAsia="Times New Roman" w:cs="Arial"/>
                <w:color w:val="000000"/>
                <w:szCs w:val="24"/>
                <w:lang w:eastAsia="en-GB"/>
              </w:rPr>
              <w:br/>
              <w:t>girls and women that is not biased and avoids stereotyping the roles that men and women should perform in the job market.</w:t>
            </w:r>
          </w:p>
        </w:tc>
        <w:tc>
          <w:tcPr>
            <w:tcW w:w="3193" w:type="dxa"/>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introduce a new, </w:t>
            </w:r>
            <w:r w:rsidRPr="004076EE">
              <w:rPr>
                <w:rFonts w:eastAsia="Times New Roman" w:cs="Arial"/>
                <w:color w:val="000000"/>
                <w:szCs w:val="24"/>
                <w:lang w:eastAsia="en-GB"/>
              </w:rPr>
              <w:br/>
              <w:t>independent system of careers advice, offering personalised face-to-face guidance on routes into university and apprenticeships.”</w:t>
            </w:r>
            <w:r w:rsidRPr="004076EE">
              <w:rPr>
                <w:rFonts w:eastAsia="Times New Roman" w:cs="Arial"/>
                <w:color w:val="000000"/>
                <w:szCs w:val="24"/>
                <w:lang w:eastAsia="en-GB"/>
              </w:rPr>
              <w:br/>
              <w:t xml:space="preserve">• Provide face to face careers </w:t>
            </w:r>
            <w:r w:rsidRPr="004076EE">
              <w:rPr>
                <w:rFonts w:eastAsia="Times New Roman" w:cs="Arial"/>
                <w:color w:val="000000"/>
                <w:szCs w:val="24"/>
                <w:lang w:eastAsia="en-GB"/>
              </w:rPr>
              <w:br/>
              <w:t>advice in schools, ensuring that girls know that no ambitions are off limits. (Women's Manifesto)</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“Help everyone in work on a low </w:t>
            </w:r>
            <w:r w:rsidRPr="004076EE">
              <w:rPr>
                <w:rFonts w:eastAsia="Times New Roman" w:cs="Arial"/>
                <w:color w:val="000000"/>
                <w:szCs w:val="24"/>
                <w:lang w:eastAsia="en-GB"/>
              </w:rPr>
              <w:br/>
              <w:t>wage step up the career ladder and increase their hours, reducing their need for benefits, with tailored in-work careers and job search advice.” P(47)</w:t>
            </w:r>
          </w:p>
        </w:tc>
      </w:tr>
      <w:tr w:rsidR="004076EE" w:rsidRPr="004076EE" w:rsidTr="003B40EE">
        <w:trPr>
          <w:trHeight w:val="4239"/>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9. A halt in the reduction in welfare benefits and the </w:t>
            </w:r>
            <w:r w:rsidRPr="004076EE">
              <w:rPr>
                <w:rFonts w:eastAsia="Times New Roman" w:cs="Arial"/>
                <w:color w:val="000000"/>
                <w:szCs w:val="24"/>
                <w:lang w:eastAsia="en-GB"/>
              </w:rPr>
              <w:br/>
              <w:t>proposed further cuts of £12bn from the welfare budget which are disproportionately affecting women.</w:t>
            </w:r>
          </w:p>
        </w:tc>
        <w:tc>
          <w:tcPr>
            <w:tcW w:w="3193"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find £12 billion from </w:t>
            </w:r>
            <w:r w:rsidRPr="004076EE">
              <w:rPr>
                <w:rFonts w:eastAsia="Times New Roman" w:cs="Arial"/>
                <w:color w:val="000000"/>
                <w:szCs w:val="24"/>
                <w:lang w:eastAsia="en-GB"/>
              </w:rPr>
              <w:br/>
              <w:t xml:space="preserve">welfare savings, on top of the £21 billion of savings delivered in this Parliament”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 xml:space="preserve">8) </w:t>
            </w:r>
            <w:r w:rsidRPr="004076EE">
              <w:rPr>
                <w:rFonts w:eastAsia="Times New Roman" w:cs="Arial"/>
                <w:color w:val="000000"/>
                <w:szCs w:val="24"/>
                <w:lang w:eastAsia="en-GB"/>
              </w:rPr>
              <w:br/>
              <w:t xml:space="preserve">“We will replace the Jobseeker’s Allowance for 18-21 year-olds with a Youth Allowance that will be time-limited to six months, after which young people will have to take an apprenticeship, a traineeship or do daily community work for their benefits.”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18)</w:t>
            </w:r>
            <w:r w:rsidRPr="004076EE">
              <w:rPr>
                <w:rFonts w:eastAsia="Times New Roman" w:cs="Arial"/>
                <w:color w:val="000000"/>
                <w:szCs w:val="24"/>
                <w:lang w:eastAsia="en-GB"/>
              </w:rPr>
              <w:br/>
              <w:t>“So we will ensure that ‘18-21 year-olds on Jobseeker’s Allowance’ no longer have an automatic entitlement to Housing Benefit.” P(18)</w:t>
            </w:r>
            <w:r w:rsidRPr="004076EE">
              <w:rPr>
                <w:rFonts w:eastAsia="Times New Roman" w:cs="Arial"/>
                <w:color w:val="000000"/>
                <w:szCs w:val="24"/>
                <w:lang w:eastAsia="en-GB"/>
              </w:rPr>
              <w:br/>
              <w:t>“And we will see through our welfare reforms, lowering the benefit cap and rolling out Universal Credit” P(27)</w:t>
            </w:r>
            <w:r w:rsidRPr="004076EE">
              <w:rPr>
                <w:rFonts w:eastAsia="Times New Roman" w:cs="Arial"/>
                <w:color w:val="000000"/>
                <w:szCs w:val="24"/>
                <w:lang w:eastAsia="en-GB"/>
              </w:rPr>
              <w:br/>
              <w:t xml:space="preserve">“We will freeze working age benefits for two years from April 2016, with exemptions </w:t>
            </w:r>
            <w:r w:rsidRPr="004076EE">
              <w:rPr>
                <w:rFonts w:eastAsia="Times New Roman" w:cs="Arial"/>
                <w:color w:val="000000"/>
                <w:szCs w:val="24"/>
                <w:lang w:eastAsia="en-GB"/>
              </w:rPr>
              <w:lastRenderedPageBreak/>
              <w:t>for disability and pensioner benefits – as at present – as well as maternity allowance, statutory maternity pay, statutory paternity pay, statutory adoption pay and statutory sick pay” P(28)</w:t>
            </w:r>
            <w:r w:rsidRPr="004076EE">
              <w:rPr>
                <w:rFonts w:eastAsia="Times New Roman" w:cs="Arial"/>
                <w:color w:val="000000"/>
                <w:szCs w:val="24"/>
                <w:lang w:eastAsia="en-GB"/>
              </w:rPr>
              <w:br/>
              <w:t>“We will lower the maximum amount that a single household can claim in benefits each year from £26,000 to £23,000, so we reward work” P(28)</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keep the household </w:t>
            </w:r>
            <w:r w:rsidRPr="004076EE">
              <w:rPr>
                <w:rFonts w:eastAsia="Times New Roman" w:cs="Arial"/>
                <w:color w:val="000000"/>
                <w:szCs w:val="24"/>
                <w:lang w:eastAsia="en-GB"/>
              </w:rPr>
              <w:br/>
              <w:t>benefit cap and ask the Social Security Advisory Committee to examine if it should be lower in some areas. And we will cap structural social security spending as part of each spending review, so that it is properly planned and controlled.” P(47)</w:t>
            </w:r>
            <w:r w:rsidRPr="004076EE">
              <w:rPr>
                <w:rFonts w:eastAsia="Times New Roman" w:cs="Arial"/>
                <w:color w:val="000000"/>
                <w:szCs w:val="24"/>
                <w:lang w:eastAsia="en-GB"/>
              </w:rPr>
              <w:br/>
              <w:t>“…we will not cut tax credits” P(47)</w:t>
            </w:r>
            <w:r w:rsidRPr="004076EE">
              <w:rPr>
                <w:rFonts w:eastAsia="Times New Roman" w:cs="Arial"/>
                <w:color w:val="000000"/>
                <w:szCs w:val="24"/>
                <w:lang w:eastAsia="en-GB"/>
              </w:rPr>
              <w:br/>
              <w:t xml:space="preserve">“We support the principle behind Universal Credit – that there should be a smooth transition into work – but it must be affordable and fit for purpose, so we will pause and review the programme” P(47) </w:t>
            </w:r>
            <w:r w:rsidRPr="004076EE">
              <w:rPr>
                <w:rFonts w:eastAsia="Times New Roman" w:cs="Arial"/>
                <w:color w:val="000000"/>
                <w:szCs w:val="24"/>
                <w:lang w:eastAsia="en-GB"/>
              </w:rPr>
              <w:br/>
              <w:t xml:space="preserve">“…..the Bedroom Tax …..  </w:t>
            </w:r>
            <w:proofErr w:type="gramStart"/>
            <w:r w:rsidRPr="004076EE">
              <w:rPr>
                <w:rFonts w:eastAsia="Times New Roman" w:cs="Arial"/>
                <w:color w:val="000000"/>
                <w:szCs w:val="24"/>
                <w:lang w:eastAsia="en-GB"/>
              </w:rPr>
              <w:t>is</w:t>
            </w:r>
            <w:proofErr w:type="gramEnd"/>
            <w:r w:rsidRPr="004076EE">
              <w:rPr>
                <w:rFonts w:eastAsia="Times New Roman" w:cs="Arial"/>
                <w:color w:val="000000"/>
                <w:szCs w:val="24"/>
                <w:lang w:eastAsia="en-GB"/>
              </w:rPr>
              <w:t xml:space="preserve"> cruel, and we will abolish it.” P(48)</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“Complete the introduction of </w:t>
            </w:r>
            <w:r w:rsidRPr="004076EE">
              <w:rPr>
                <w:rFonts w:eastAsia="Times New Roman" w:cs="Arial"/>
                <w:color w:val="000000"/>
                <w:szCs w:val="24"/>
                <w:lang w:eastAsia="en-GB"/>
              </w:rPr>
              <w:br/>
              <w:t>Universal Credit (UC), so people are always better off in work. We will review UC to address any issues regarding ‘cliff edges’, and ensure increased working hours are properly incentivised for all claimants” P(43)</w:t>
            </w:r>
            <w:r w:rsidRPr="004076EE">
              <w:rPr>
                <w:rFonts w:eastAsia="Times New Roman" w:cs="Arial"/>
                <w:color w:val="000000"/>
                <w:szCs w:val="24"/>
                <w:lang w:eastAsia="en-GB"/>
              </w:rPr>
              <w:br/>
              <w:t xml:space="preserve">“We will retain the overall cap on a household’s benefits and believe this should continue to be set at around the average family income.”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43)</w:t>
            </w:r>
            <w:r w:rsidRPr="004076EE">
              <w:rPr>
                <w:rFonts w:eastAsia="Times New Roman" w:cs="Arial"/>
                <w:color w:val="000000"/>
                <w:szCs w:val="24"/>
                <w:lang w:eastAsia="en-GB"/>
              </w:rPr>
              <w:br/>
              <w:t>“Introduce a 1% cap on the uprating of working-age benefits until the budget is balanced in 2017/18, after which they will rise with inflation once again. Disability and parental leave benefits will be exempt from this temporary cap” P(45)</w:t>
            </w:r>
            <w:r w:rsidRPr="004076EE">
              <w:rPr>
                <w:rFonts w:eastAsia="Times New Roman" w:cs="Arial"/>
                <w:color w:val="000000"/>
                <w:szCs w:val="24"/>
                <w:lang w:eastAsia="en-GB"/>
              </w:rPr>
              <w:br/>
              <w:t>"Continue requirements for all new claimants for Jobseekers Allowance (JSA) to have their English language skills assessed, with JSA then being conditional on attending English language courses for those whose English is poor." P(127)</w:t>
            </w:r>
          </w:p>
        </w:tc>
      </w:tr>
    </w:tbl>
    <w:p w:rsidR="00615DC4" w:rsidRPr="003B40EE" w:rsidRDefault="00615DC4">
      <w:pPr>
        <w:rPr>
          <w:sz w:val="22"/>
        </w:rPr>
      </w:pPr>
      <w:r w:rsidRPr="003B40EE">
        <w:rPr>
          <w:sz w:val="22"/>
        </w:rPr>
        <w:lastRenderedPageBreak/>
        <w:br w:type="page"/>
      </w:r>
    </w:p>
    <w:tbl>
      <w:tblPr>
        <w:tblStyle w:val="TableGrid"/>
        <w:tblW w:w="16575" w:type="dxa"/>
        <w:tblLook w:val="04A0" w:firstRow="1" w:lastRow="0" w:firstColumn="1" w:lastColumn="0" w:noHBand="0" w:noVBand="1"/>
      </w:tblPr>
      <w:tblGrid>
        <w:gridCol w:w="4094"/>
        <w:gridCol w:w="3193"/>
        <w:gridCol w:w="222"/>
        <w:gridCol w:w="5086"/>
        <w:gridCol w:w="280"/>
        <w:gridCol w:w="3700"/>
      </w:tblGrid>
      <w:tr w:rsidR="004076EE" w:rsidRPr="004076EE" w:rsidTr="00615DC4">
        <w:trPr>
          <w:trHeight w:val="600"/>
        </w:trPr>
        <w:tc>
          <w:tcPr>
            <w:tcW w:w="4094" w:type="dxa"/>
            <w:hideMark/>
          </w:tcPr>
          <w:p w:rsidR="004076EE" w:rsidRPr="003B40EE" w:rsidRDefault="004076EE" w:rsidP="004076EE">
            <w:pPr>
              <w:rPr>
                <w:rFonts w:eastAsia="Times New Roman" w:cs="Arial"/>
                <w:b/>
                <w:color w:val="000000"/>
                <w:szCs w:val="24"/>
                <w:u w:val="single"/>
                <w:lang w:eastAsia="en-GB"/>
              </w:rPr>
            </w:pPr>
            <w:r w:rsidRPr="004076EE">
              <w:rPr>
                <w:rFonts w:eastAsia="Times New Roman" w:cs="Arial"/>
                <w:b/>
                <w:color w:val="000000"/>
                <w:szCs w:val="24"/>
                <w:u w:val="single"/>
                <w:lang w:eastAsia="en-GB"/>
              </w:rPr>
              <w:lastRenderedPageBreak/>
              <w:t xml:space="preserve">To improve women’s access </w:t>
            </w:r>
            <w:r w:rsidRPr="004076EE">
              <w:rPr>
                <w:rFonts w:eastAsia="Times New Roman" w:cs="Arial"/>
                <w:b/>
                <w:color w:val="000000"/>
                <w:szCs w:val="24"/>
                <w:u w:val="single"/>
                <w:lang w:eastAsia="en-GB"/>
              </w:rPr>
              <w:br/>
              <w:t>to health services</w:t>
            </w:r>
          </w:p>
          <w:p w:rsidR="00615DC4" w:rsidRPr="004076EE" w:rsidRDefault="00615DC4" w:rsidP="004076EE">
            <w:pPr>
              <w:rPr>
                <w:rFonts w:eastAsia="Times New Roman" w:cs="Arial"/>
                <w:color w:val="000000"/>
                <w:szCs w:val="24"/>
                <w:u w:val="single"/>
                <w:lang w:eastAsia="en-GB"/>
              </w:rPr>
            </w:pPr>
          </w:p>
        </w:tc>
        <w:tc>
          <w:tcPr>
            <w:tcW w:w="3193" w:type="dxa"/>
            <w:hideMark/>
          </w:tcPr>
          <w:p w:rsidR="004076EE" w:rsidRPr="004076EE" w:rsidRDefault="004076EE" w:rsidP="004076EE">
            <w:pPr>
              <w:rPr>
                <w:rFonts w:eastAsia="Times New Roman" w:cs="Arial"/>
                <w:color w:val="000000"/>
                <w:szCs w:val="24"/>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p>
        </w:tc>
      </w:tr>
      <w:tr w:rsidR="004076EE" w:rsidRPr="004076EE" w:rsidTr="00615DC4">
        <w:trPr>
          <w:trHeight w:val="315"/>
        </w:trPr>
        <w:tc>
          <w:tcPr>
            <w:tcW w:w="4094" w:type="dxa"/>
            <w:hideMark/>
          </w:tcPr>
          <w:p w:rsidR="004076EE" w:rsidRPr="004076EE" w:rsidRDefault="004076EE" w:rsidP="004076EE">
            <w:pPr>
              <w:rPr>
                <w:rFonts w:eastAsia="Times New Roman" w:cs="Arial"/>
                <w:b/>
                <w:bCs/>
                <w:color w:val="000000"/>
                <w:szCs w:val="24"/>
                <w:lang w:eastAsia="en-GB"/>
              </w:rPr>
            </w:pPr>
            <w:r w:rsidRPr="004076EE">
              <w:rPr>
                <w:rFonts w:eastAsia="Times New Roman" w:cs="Arial"/>
                <w:b/>
                <w:bCs/>
                <w:color w:val="000000"/>
                <w:szCs w:val="24"/>
                <w:lang w:eastAsia="en-GB"/>
              </w:rPr>
              <w:t>Calls for Action</w:t>
            </w:r>
          </w:p>
        </w:tc>
        <w:tc>
          <w:tcPr>
            <w:tcW w:w="3193" w:type="dxa"/>
            <w:hideMark/>
          </w:tcPr>
          <w:p w:rsidR="004076EE" w:rsidRPr="004076EE" w:rsidRDefault="004076EE" w:rsidP="004076EE">
            <w:pPr>
              <w:rPr>
                <w:rFonts w:eastAsia="Times New Roman" w:cs="Arial"/>
                <w:b/>
                <w:bCs/>
                <w:color w:val="000000"/>
                <w:szCs w:val="24"/>
                <w:lang w:eastAsia="en-GB"/>
              </w:rPr>
            </w:pPr>
          </w:p>
        </w:tc>
        <w:tc>
          <w:tcPr>
            <w:tcW w:w="222"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5086" w:type="dxa"/>
            <w:hideMark/>
          </w:tcPr>
          <w:p w:rsidR="004076EE" w:rsidRPr="004076EE" w:rsidRDefault="004076EE" w:rsidP="004076EE">
            <w:pPr>
              <w:rPr>
                <w:rFonts w:eastAsia="Times New Roman" w:cs="Arial"/>
                <w:b/>
                <w:bCs/>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b/>
                <w:bCs/>
                <w:color w:val="000000"/>
                <w:szCs w:val="24"/>
                <w:lang w:eastAsia="en-GB"/>
              </w:rPr>
            </w:pPr>
          </w:p>
        </w:tc>
        <w:tc>
          <w:tcPr>
            <w:tcW w:w="3700" w:type="dxa"/>
            <w:hideMark/>
          </w:tcPr>
          <w:p w:rsidR="004076EE" w:rsidRPr="004076EE" w:rsidRDefault="004076EE" w:rsidP="004076EE">
            <w:pPr>
              <w:rPr>
                <w:rFonts w:eastAsia="Times New Roman" w:cs="Arial"/>
                <w:b/>
                <w:bCs/>
                <w:color w:val="000000"/>
                <w:szCs w:val="24"/>
                <w:lang w:eastAsia="en-GB"/>
              </w:rPr>
            </w:pPr>
          </w:p>
        </w:tc>
      </w:tr>
      <w:tr w:rsidR="004076EE" w:rsidRPr="004076EE" w:rsidTr="00615DC4">
        <w:trPr>
          <w:trHeight w:val="27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10. Recognition, by the Department of Health, that </w:t>
            </w:r>
            <w:r w:rsidRPr="004076EE">
              <w:rPr>
                <w:rFonts w:eastAsia="Times New Roman" w:cs="Arial"/>
                <w:color w:val="000000"/>
                <w:szCs w:val="24"/>
                <w:lang w:eastAsia="en-GB"/>
              </w:rPr>
              <w:br/>
              <w:t>there are different physiological needs of women in relation to major conditions, such as cancer and cardio vascular disease, and introduction of treatment and information tailored to these differences.</w:t>
            </w:r>
          </w:p>
        </w:tc>
        <w:tc>
          <w:tcPr>
            <w:tcW w:w="3193" w:type="dxa"/>
            <w:noWrap/>
            <w:hideMark/>
          </w:tcPr>
          <w:p w:rsidR="004076EE" w:rsidRPr="004076EE" w:rsidRDefault="004076EE" w:rsidP="004076EE">
            <w:pPr>
              <w:rPr>
                <w:rFonts w:eastAsia="Times New Roman" w:cs="Arial"/>
                <w:color w:val="000000"/>
                <w:szCs w:val="24"/>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33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11. Commissioners of services ensuring that the </w:t>
            </w:r>
            <w:r w:rsidRPr="004076EE">
              <w:rPr>
                <w:rFonts w:eastAsia="Times New Roman" w:cs="Arial"/>
                <w:color w:val="000000"/>
                <w:szCs w:val="24"/>
                <w:lang w:eastAsia="en-GB"/>
              </w:rPr>
              <w:br/>
              <w:t>specific needs of women, including BME, lesbian and bisexual, disabled, older and younger are taken into account when specifying and commissioning services. They should also be required to monitor satisfaction levels across different groups of women and address any issues identified.</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3345"/>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12. Healthcare staff, including those involved in </w:t>
            </w:r>
            <w:r w:rsidRPr="004076EE">
              <w:rPr>
                <w:rFonts w:eastAsia="Times New Roman" w:cs="Arial"/>
                <w:color w:val="000000"/>
                <w:szCs w:val="24"/>
                <w:lang w:eastAsia="en-GB"/>
              </w:rPr>
              <w:br/>
              <w:t>health promotion, recognising the ways in which gender affects medical and health care, taking account of the different ways in which women experience and access that care and treating women with ‘women’s ailments’ with respect and dignity.</w:t>
            </w:r>
          </w:p>
        </w:tc>
        <w:tc>
          <w:tcPr>
            <w:tcW w:w="3193" w:type="dxa"/>
            <w:hideMark/>
          </w:tcPr>
          <w:p w:rsidR="004076EE" w:rsidRPr="004076EE" w:rsidRDefault="004076EE" w:rsidP="004076EE">
            <w:pPr>
              <w:rPr>
                <w:rFonts w:ascii="Times New Roman" w:eastAsia="Times New Roman" w:hAnsi="Times New Roman" w:cs="Times New Roman"/>
                <w:color w:val="3D3C3B"/>
                <w:lang w:eastAsia="en-GB"/>
              </w:rPr>
            </w:pPr>
            <w:r w:rsidRPr="004076EE">
              <w:rPr>
                <w:rFonts w:ascii="Times New Roman" w:eastAsia="Times New Roman" w:hAnsi="Times New Roman" w:cs="Times New Roman"/>
                <w:color w:val="3D3C3B"/>
                <w:lang w:eastAsia="en-GB"/>
              </w:rPr>
              <w:t>“</w:t>
            </w:r>
            <w:proofErr w:type="gramStart"/>
            <w:r w:rsidRPr="004076EE">
              <w:rPr>
                <w:rFonts w:ascii="Times New Roman" w:eastAsia="Times New Roman" w:hAnsi="Times New Roman" w:cs="Times New Roman"/>
                <w:color w:val="3D3C3B"/>
                <w:lang w:eastAsia="en-GB"/>
              </w:rPr>
              <w:t>we</w:t>
            </w:r>
            <w:proofErr w:type="gramEnd"/>
            <w:r w:rsidRPr="004076EE">
              <w:rPr>
                <w:rFonts w:ascii="Times New Roman" w:eastAsia="Times New Roman" w:hAnsi="Times New Roman" w:cs="Times New Roman"/>
                <w:color w:val="3D3C3B"/>
                <w:lang w:eastAsia="en-GB"/>
              </w:rPr>
              <w:t xml:space="preserve"> will ensure that women have </w:t>
            </w:r>
            <w:r w:rsidRPr="004076EE">
              <w:rPr>
                <w:rFonts w:ascii="Times New Roman" w:eastAsia="Times New Roman" w:hAnsi="Times New Roman" w:cs="Times New Roman"/>
                <w:color w:val="3D3C3B"/>
                <w:lang w:eastAsia="en-GB"/>
              </w:rPr>
              <w:br/>
              <w:t>access to mental health support during and after pregnancy, while strengthening the health visiting programme for new mothers.” P39</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bl>
    <w:p w:rsidR="00615DC4" w:rsidRPr="003B40EE" w:rsidRDefault="00615DC4">
      <w:pPr>
        <w:rPr>
          <w:sz w:val="22"/>
        </w:rPr>
      </w:pPr>
      <w:r w:rsidRPr="003B40EE">
        <w:rPr>
          <w:sz w:val="22"/>
        </w:rPr>
        <w:br w:type="page"/>
      </w:r>
    </w:p>
    <w:tbl>
      <w:tblPr>
        <w:tblStyle w:val="TableGrid"/>
        <w:tblW w:w="16575" w:type="dxa"/>
        <w:tblLook w:val="04A0" w:firstRow="1" w:lastRow="0" w:firstColumn="1" w:lastColumn="0" w:noHBand="0" w:noVBand="1"/>
      </w:tblPr>
      <w:tblGrid>
        <w:gridCol w:w="4094"/>
        <w:gridCol w:w="3193"/>
        <w:gridCol w:w="222"/>
        <w:gridCol w:w="5086"/>
        <w:gridCol w:w="280"/>
        <w:gridCol w:w="3700"/>
      </w:tblGrid>
      <w:tr w:rsidR="004076EE" w:rsidRPr="004076EE" w:rsidTr="00615DC4">
        <w:trPr>
          <w:trHeight w:val="975"/>
        </w:trPr>
        <w:tc>
          <w:tcPr>
            <w:tcW w:w="4094" w:type="dxa"/>
            <w:hideMark/>
          </w:tcPr>
          <w:p w:rsidR="004076EE" w:rsidRPr="003B40EE" w:rsidRDefault="004076EE" w:rsidP="004076EE">
            <w:pPr>
              <w:rPr>
                <w:rFonts w:eastAsia="Times New Roman" w:cs="Arial"/>
                <w:b/>
                <w:color w:val="000000"/>
                <w:szCs w:val="24"/>
                <w:u w:val="single"/>
                <w:lang w:eastAsia="en-GB"/>
              </w:rPr>
            </w:pPr>
            <w:r w:rsidRPr="004076EE">
              <w:rPr>
                <w:rFonts w:eastAsia="Times New Roman" w:cs="Arial"/>
                <w:b/>
                <w:color w:val="000000"/>
                <w:szCs w:val="24"/>
                <w:u w:val="single"/>
                <w:lang w:eastAsia="en-GB"/>
              </w:rPr>
              <w:lastRenderedPageBreak/>
              <w:t xml:space="preserve">To increase women’s safety in </w:t>
            </w:r>
            <w:r w:rsidRPr="004076EE">
              <w:rPr>
                <w:rFonts w:eastAsia="Times New Roman" w:cs="Arial"/>
                <w:b/>
                <w:color w:val="000000"/>
                <w:szCs w:val="24"/>
                <w:u w:val="single"/>
                <w:lang w:eastAsia="en-GB"/>
              </w:rPr>
              <w:br/>
              <w:t>the home and on the street</w:t>
            </w:r>
          </w:p>
          <w:p w:rsidR="003B40EE" w:rsidRPr="004076EE" w:rsidRDefault="003B40EE" w:rsidP="004076EE">
            <w:pPr>
              <w:rPr>
                <w:rFonts w:eastAsia="Times New Roman" w:cs="Arial"/>
                <w:b/>
                <w:color w:val="000000"/>
                <w:szCs w:val="24"/>
                <w:u w:val="single"/>
                <w:lang w:eastAsia="en-GB"/>
              </w:rPr>
            </w:pPr>
          </w:p>
        </w:tc>
        <w:tc>
          <w:tcPr>
            <w:tcW w:w="3193" w:type="dxa"/>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510"/>
        </w:trPr>
        <w:tc>
          <w:tcPr>
            <w:tcW w:w="4094" w:type="dxa"/>
            <w:hideMark/>
          </w:tcPr>
          <w:p w:rsidR="004076EE" w:rsidRPr="004076EE" w:rsidRDefault="004076EE" w:rsidP="004076EE">
            <w:pPr>
              <w:rPr>
                <w:rFonts w:eastAsia="Times New Roman" w:cs="Arial"/>
                <w:b/>
                <w:bCs/>
                <w:color w:val="000000"/>
                <w:szCs w:val="24"/>
                <w:lang w:eastAsia="en-GB"/>
              </w:rPr>
            </w:pPr>
            <w:r w:rsidRPr="004076EE">
              <w:rPr>
                <w:rFonts w:eastAsia="Times New Roman" w:cs="Arial"/>
                <w:b/>
                <w:bCs/>
                <w:color w:val="000000"/>
                <w:szCs w:val="24"/>
                <w:lang w:eastAsia="en-GB"/>
              </w:rPr>
              <w:t>Calls for Action</w:t>
            </w:r>
          </w:p>
        </w:tc>
        <w:tc>
          <w:tcPr>
            <w:tcW w:w="3193" w:type="dxa"/>
            <w:hideMark/>
          </w:tcPr>
          <w:p w:rsidR="004076EE" w:rsidRPr="004076EE" w:rsidRDefault="004076EE" w:rsidP="004076EE">
            <w:pPr>
              <w:rPr>
                <w:rFonts w:ascii="Times New Roman" w:eastAsia="Times New Roman" w:hAnsi="Times New Roman" w:cs="Times New Roman"/>
                <w:b/>
                <w:bCs/>
                <w:color w:val="3D3C3B"/>
                <w:lang w:eastAsia="en-GB"/>
              </w:rPr>
            </w:pPr>
          </w:p>
        </w:tc>
        <w:tc>
          <w:tcPr>
            <w:tcW w:w="222" w:type="dxa"/>
            <w:noWrap/>
            <w:hideMark/>
          </w:tcPr>
          <w:p w:rsidR="004076EE" w:rsidRPr="004076EE" w:rsidRDefault="004076EE" w:rsidP="004076EE">
            <w:pPr>
              <w:rPr>
                <w:rFonts w:ascii="Calibri" w:eastAsia="Times New Roman" w:hAnsi="Calibri" w:cs="Times New Roman"/>
                <w:b/>
                <w:bCs/>
                <w:color w:val="000000"/>
                <w:lang w:eastAsia="en-GB"/>
              </w:rPr>
            </w:pPr>
          </w:p>
        </w:tc>
        <w:tc>
          <w:tcPr>
            <w:tcW w:w="5086" w:type="dxa"/>
            <w:noWrap/>
            <w:hideMark/>
          </w:tcPr>
          <w:p w:rsidR="004076EE" w:rsidRPr="004076EE" w:rsidRDefault="004076EE" w:rsidP="004076EE">
            <w:pPr>
              <w:rPr>
                <w:rFonts w:ascii="Calibri" w:eastAsia="Times New Roman" w:hAnsi="Calibri" w:cs="Times New Roman"/>
                <w:b/>
                <w:bCs/>
                <w:color w:val="000000"/>
                <w:lang w:eastAsia="en-GB"/>
              </w:rPr>
            </w:pPr>
          </w:p>
        </w:tc>
        <w:tc>
          <w:tcPr>
            <w:tcW w:w="280" w:type="dxa"/>
            <w:noWrap/>
            <w:hideMark/>
          </w:tcPr>
          <w:p w:rsidR="004076EE" w:rsidRPr="004076EE" w:rsidRDefault="004076EE" w:rsidP="004076EE">
            <w:pPr>
              <w:rPr>
                <w:rFonts w:ascii="Calibri" w:eastAsia="Times New Roman" w:hAnsi="Calibri" w:cs="Times New Roman"/>
                <w:b/>
                <w:bCs/>
                <w:color w:val="000000"/>
                <w:lang w:eastAsia="en-GB"/>
              </w:rPr>
            </w:pPr>
          </w:p>
        </w:tc>
        <w:tc>
          <w:tcPr>
            <w:tcW w:w="3700" w:type="dxa"/>
            <w:noWrap/>
            <w:hideMark/>
          </w:tcPr>
          <w:p w:rsidR="004076EE" w:rsidRPr="004076EE" w:rsidRDefault="004076EE" w:rsidP="004076EE">
            <w:pPr>
              <w:rPr>
                <w:rFonts w:ascii="Calibri" w:eastAsia="Times New Roman" w:hAnsi="Calibri" w:cs="Times New Roman"/>
                <w:b/>
                <w:bCs/>
                <w:color w:val="000000"/>
                <w:lang w:eastAsia="en-GB"/>
              </w:rPr>
            </w:pPr>
          </w:p>
        </w:tc>
      </w:tr>
      <w:tr w:rsidR="004076EE" w:rsidRPr="004076EE" w:rsidTr="00615DC4">
        <w:trPr>
          <w:trHeight w:val="2295"/>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13. Ending the exploitation of women </w:t>
            </w:r>
            <w:r w:rsidRPr="004076EE">
              <w:rPr>
                <w:rFonts w:eastAsia="Times New Roman" w:cs="Arial"/>
                <w:color w:val="000000"/>
                <w:szCs w:val="24"/>
                <w:lang w:eastAsia="en-GB"/>
              </w:rPr>
              <w:br/>
              <w:t>by the media, through legislation, if necessary.</w:t>
            </w:r>
          </w:p>
        </w:tc>
        <w:tc>
          <w:tcPr>
            <w:tcW w:w="3193" w:type="dxa"/>
            <w:hideMark/>
          </w:tcPr>
          <w:p w:rsidR="004076EE" w:rsidRPr="004076EE" w:rsidRDefault="004076EE" w:rsidP="004076EE">
            <w:pPr>
              <w:rPr>
                <w:rFonts w:ascii="Times New Roman" w:eastAsia="Times New Roman" w:hAnsi="Times New Roman" w:cs="Times New Roman"/>
                <w:color w:val="3D3C3B"/>
                <w:lang w:eastAsia="en-GB"/>
              </w:rPr>
            </w:pPr>
            <w:r w:rsidRPr="004076EE">
              <w:rPr>
                <w:rFonts w:ascii="Times New Roman" w:eastAsia="Times New Roman" w:hAnsi="Times New Roman" w:cs="Times New Roman"/>
                <w:color w:val="3D3C3B"/>
                <w:lang w:eastAsia="en-GB"/>
              </w:rPr>
              <w:t xml:space="preserve">“And we will stop children's </w:t>
            </w:r>
            <w:r w:rsidRPr="004076EE">
              <w:rPr>
                <w:rFonts w:ascii="Times New Roman" w:eastAsia="Times New Roman" w:hAnsi="Times New Roman" w:cs="Times New Roman"/>
                <w:color w:val="3D3C3B"/>
                <w:lang w:eastAsia="en-GB"/>
              </w:rPr>
              <w:br/>
              <w:t>exposure to harmful sexualised content online, by requiring age verification for access to all sites containing pornographic material and age-rating for all music videos.” P35</w:t>
            </w: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ascii="Calibri" w:eastAsia="Times New Roman" w:hAnsi="Calibri" w:cs="Times New Roman"/>
                <w:color w:val="000000"/>
                <w:lang w:eastAsia="en-GB"/>
              </w:rPr>
            </w:pPr>
            <w:r w:rsidRPr="004076EE">
              <w:rPr>
                <w:rFonts w:ascii="Calibri" w:eastAsia="Times New Roman" w:hAnsi="Calibri" w:cs="Times New Roman"/>
                <w:color w:val="000000"/>
                <w:lang w:eastAsia="en-GB"/>
              </w:rPr>
              <w:t xml:space="preserve">• Appoint a new commissioner to enforce </w:t>
            </w:r>
            <w:r w:rsidRPr="004076EE">
              <w:rPr>
                <w:rFonts w:ascii="Calibri" w:eastAsia="Times New Roman" w:hAnsi="Calibri" w:cs="Times New Roman"/>
                <w:color w:val="000000"/>
                <w:lang w:eastAsia="en-GB"/>
              </w:rPr>
              <w:br/>
              <w:t>minimum standards for tackling domestic and sexual violence. (Manifesto for women)</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Continue to support free media </w:t>
            </w:r>
            <w:r w:rsidRPr="004076EE">
              <w:rPr>
                <w:rFonts w:eastAsia="Times New Roman" w:cs="Arial"/>
                <w:color w:val="000000"/>
                <w:szCs w:val="24"/>
                <w:lang w:eastAsia="en-GB"/>
              </w:rPr>
              <w:br/>
              <w:t>and a free and open Internet around the world, championing the free flow of information.” P(153)</w:t>
            </w:r>
          </w:p>
        </w:tc>
      </w:tr>
      <w:tr w:rsidR="004076EE" w:rsidRPr="004076EE" w:rsidTr="00615DC4">
        <w:trPr>
          <w:trHeight w:val="42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14. Improving relationship education in schools. </w:t>
            </w:r>
            <w:r w:rsidRPr="004076EE">
              <w:rPr>
                <w:rFonts w:eastAsia="Times New Roman" w:cs="Arial"/>
                <w:color w:val="000000"/>
                <w:szCs w:val="24"/>
                <w:lang w:eastAsia="en-GB"/>
              </w:rPr>
              <w:br/>
              <w:t>The school curriculum should include compulsory specific learning and discussion on respect and dignity in relationships with specific reference to the unacceptability of domestic and sexual abuse/violence.</w:t>
            </w:r>
          </w:p>
        </w:tc>
        <w:tc>
          <w:tcPr>
            <w:tcW w:w="3193" w:type="dxa"/>
            <w:noWrap/>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introduce </w:t>
            </w:r>
            <w:r w:rsidRPr="004076EE">
              <w:rPr>
                <w:rFonts w:eastAsia="Times New Roman" w:cs="Arial"/>
                <w:color w:val="000000"/>
                <w:szCs w:val="24"/>
                <w:lang w:eastAsia="en-GB"/>
              </w:rPr>
              <w:br/>
              <w:t>compulsory age-appropriate sex and relationships education. We will encourage all schools to embed character education across the curriculum, working with schools to stop the blight of homophobic bullying.” (P37)</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“Introduce a minimum curriculum </w:t>
            </w:r>
            <w:r w:rsidRPr="004076EE">
              <w:rPr>
                <w:rFonts w:eastAsia="Times New Roman" w:cs="Arial"/>
                <w:color w:val="000000"/>
                <w:szCs w:val="24"/>
                <w:lang w:eastAsia="en-GB"/>
              </w:rPr>
              <w:br/>
              <w:t xml:space="preserve">entitlement – a slimmed down core national curriculum, which will be taught in all state-funded schools. This will include Personal, Social and Health Education: a ‘curriculum for life’ including …. </w:t>
            </w:r>
            <w:proofErr w:type="gramStart"/>
            <w:r w:rsidRPr="004076EE">
              <w:rPr>
                <w:rFonts w:eastAsia="Times New Roman" w:cs="Arial"/>
                <w:color w:val="000000"/>
                <w:szCs w:val="24"/>
                <w:lang w:eastAsia="en-GB"/>
              </w:rPr>
              <w:t>and</w:t>
            </w:r>
            <w:proofErr w:type="gramEnd"/>
            <w:r w:rsidRPr="004076EE">
              <w:rPr>
                <w:rFonts w:eastAsia="Times New Roman" w:cs="Arial"/>
                <w:color w:val="000000"/>
                <w:szCs w:val="24"/>
                <w:lang w:eastAsia="en-GB"/>
              </w:rPr>
              <w:t xml:space="preserve"> age-appropriate sex and relationship education …” P(60)</w:t>
            </w:r>
            <w:r w:rsidRPr="004076EE">
              <w:rPr>
                <w:rFonts w:eastAsia="Times New Roman" w:cs="Arial"/>
                <w:color w:val="000000"/>
                <w:szCs w:val="24"/>
                <w:lang w:eastAsia="en-GB"/>
              </w:rPr>
              <w:br/>
              <w:t>Require the teaching of sexual consent in schools as part of age appropriate sex and relationships education. P121</w:t>
            </w:r>
          </w:p>
        </w:tc>
      </w:tr>
      <w:tr w:rsidR="004076EE" w:rsidRPr="004076EE" w:rsidTr="00615DC4">
        <w:trPr>
          <w:trHeight w:val="42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lastRenderedPageBreak/>
              <w:t xml:space="preserve">15. Greater response to perpetrators of domestic </w:t>
            </w:r>
            <w:r w:rsidRPr="004076EE">
              <w:rPr>
                <w:rFonts w:eastAsia="Times New Roman" w:cs="Arial"/>
                <w:color w:val="000000"/>
                <w:szCs w:val="24"/>
                <w:lang w:eastAsia="en-GB"/>
              </w:rPr>
              <w:br/>
              <w:t>and sexual abuse and enhanced support for these victims including women-only services</w:t>
            </w:r>
          </w:p>
        </w:tc>
        <w:tc>
          <w:tcPr>
            <w:tcW w:w="3193" w:type="dxa"/>
            <w:noWrap/>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 “We will publish a </w:t>
            </w:r>
            <w:r w:rsidRPr="004076EE">
              <w:rPr>
                <w:rFonts w:eastAsia="Times New Roman" w:cs="Arial"/>
                <w:color w:val="000000"/>
                <w:szCs w:val="24"/>
                <w:lang w:eastAsia="en-GB"/>
              </w:rPr>
              <w:br/>
              <w:t xml:space="preserve">Violence against Women and Girls Bill, appoint a commissioner to set minimum standards in tackling domestic and sexual violence, and provide more stable central funding for women’s refuges and Rape Crisis Centres” </w:t>
            </w:r>
            <w:proofErr w:type="gramStart"/>
            <w:r w:rsidRPr="004076EE">
              <w:rPr>
                <w:rFonts w:eastAsia="Times New Roman" w:cs="Arial"/>
                <w:color w:val="000000"/>
                <w:szCs w:val="24"/>
                <w:lang w:eastAsia="en-GB"/>
              </w:rPr>
              <w:t>P(</w:t>
            </w:r>
            <w:proofErr w:type="gramEnd"/>
            <w:r w:rsidRPr="004076EE">
              <w:rPr>
                <w:rFonts w:eastAsia="Times New Roman" w:cs="Arial"/>
                <w:color w:val="000000"/>
                <w:szCs w:val="24"/>
                <w:lang w:eastAsia="en-GB"/>
              </w:rPr>
              <w:t>53)</w:t>
            </w:r>
            <w:r w:rsidRPr="004076EE">
              <w:rPr>
                <w:rFonts w:eastAsia="Times New Roman" w:cs="Arial"/>
                <w:color w:val="000000"/>
                <w:szCs w:val="24"/>
                <w:lang w:eastAsia="en-GB"/>
              </w:rPr>
              <w:br/>
              <w:t>“…we will widen access to legal aid for victims of domestic violence” P(53)</w:t>
            </w:r>
            <w:r w:rsidRPr="004076EE">
              <w:rPr>
                <w:rFonts w:eastAsia="Times New Roman" w:cs="Arial"/>
                <w:color w:val="000000"/>
                <w:szCs w:val="24"/>
                <w:lang w:eastAsia="en-GB"/>
              </w:rPr>
              <w:br/>
              <w:t xml:space="preserve">• Ban the use of community resolutions in domestic violence cases. </w:t>
            </w:r>
            <w:r w:rsidRPr="004076EE">
              <w:rPr>
                <w:rFonts w:eastAsia="Times New Roman" w:cs="Arial"/>
                <w:color w:val="000000"/>
                <w:szCs w:val="24"/>
                <w:lang w:eastAsia="en-GB"/>
              </w:rPr>
              <w:br/>
              <w:t xml:space="preserve">• Make changes to DNA retention, so that rape suspects have their DNA recorded and stored. </w:t>
            </w:r>
            <w:r w:rsidRPr="004076EE">
              <w:rPr>
                <w:rFonts w:eastAsia="Times New Roman" w:cs="Arial"/>
                <w:color w:val="000000"/>
                <w:szCs w:val="24"/>
                <w:lang w:eastAsia="en-GB"/>
              </w:rPr>
              <w:br/>
              <w:t>• Establish a National Refuge Fund and provide stable funding for rape crisis centres. (Women's manifesto)</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Improve the provision of </w:t>
            </w:r>
            <w:r w:rsidRPr="004076EE">
              <w:rPr>
                <w:rFonts w:eastAsia="Times New Roman" w:cs="Arial"/>
                <w:color w:val="000000"/>
                <w:szCs w:val="24"/>
                <w:lang w:eastAsia="en-GB"/>
              </w:rPr>
              <w:br/>
              <w:t>rape crisis centres and refuges for victims of domestic violence with a national network and national sources of funding. P121</w:t>
            </w:r>
            <w:r w:rsidRPr="004076EE">
              <w:rPr>
                <w:rFonts w:eastAsia="Times New Roman" w:cs="Arial"/>
                <w:color w:val="000000"/>
                <w:szCs w:val="24"/>
                <w:lang w:eastAsia="en-GB"/>
              </w:rPr>
              <w:br/>
              <w:t>Create a national helpline for victims of domestic and sexual violence – regardless of gender – to provide support, encourage reporting and secure more convictions. P121</w:t>
            </w:r>
          </w:p>
        </w:tc>
      </w:tr>
      <w:tr w:rsidR="004076EE" w:rsidRPr="004076EE" w:rsidTr="00615DC4">
        <w:trPr>
          <w:trHeight w:val="18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16. Improved policing of women’s safety </w:t>
            </w:r>
            <w:r w:rsidRPr="004076EE">
              <w:rPr>
                <w:rFonts w:eastAsia="Times New Roman" w:cs="Arial"/>
                <w:color w:val="000000"/>
                <w:szCs w:val="24"/>
                <w:lang w:eastAsia="en-GB"/>
              </w:rPr>
              <w:br/>
              <w:t>in the street.</w:t>
            </w:r>
          </w:p>
        </w:tc>
        <w:tc>
          <w:tcPr>
            <w:tcW w:w="3193" w:type="dxa"/>
            <w:noWrap/>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will protect </w:t>
            </w:r>
            <w:r w:rsidRPr="004076EE">
              <w:rPr>
                <w:rFonts w:eastAsia="Times New Roman" w:cs="Arial"/>
                <w:color w:val="000000"/>
                <w:szCs w:val="24"/>
                <w:lang w:eastAsia="en-GB"/>
              </w:rPr>
              <w:br/>
              <w:t>neighbourhood policing. …… we will be able to safeguard over 10,000 police officers for the next three years. …… This will be backed up by a new statutory Local Policing Commitment, guaranteeing neighbourhood policing in every community.” P(51)</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bl>
    <w:p w:rsidR="00615DC4" w:rsidRPr="003B40EE" w:rsidRDefault="00615DC4">
      <w:pPr>
        <w:rPr>
          <w:sz w:val="22"/>
        </w:rPr>
      </w:pPr>
      <w:r w:rsidRPr="003B40EE">
        <w:rPr>
          <w:sz w:val="22"/>
        </w:rPr>
        <w:br w:type="page"/>
      </w:r>
    </w:p>
    <w:tbl>
      <w:tblPr>
        <w:tblStyle w:val="TableGrid"/>
        <w:tblW w:w="16575" w:type="dxa"/>
        <w:tblLook w:val="04A0" w:firstRow="1" w:lastRow="0" w:firstColumn="1" w:lastColumn="0" w:noHBand="0" w:noVBand="1"/>
      </w:tblPr>
      <w:tblGrid>
        <w:gridCol w:w="4094"/>
        <w:gridCol w:w="3193"/>
        <w:gridCol w:w="222"/>
        <w:gridCol w:w="5086"/>
        <w:gridCol w:w="280"/>
        <w:gridCol w:w="3700"/>
      </w:tblGrid>
      <w:tr w:rsidR="004076EE" w:rsidRPr="004076EE" w:rsidTr="00615DC4">
        <w:trPr>
          <w:trHeight w:val="600"/>
        </w:trPr>
        <w:tc>
          <w:tcPr>
            <w:tcW w:w="4094" w:type="dxa"/>
            <w:hideMark/>
          </w:tcPr>
          <w:p w:rsidR="004076EE" w:rsidRPr="003B40EE" w:rsidRDefault="004076EE" w:rsidP="004076EE">
            <w:pPr>
              <w:rPr>
                <w:rFonts w:eastAsia="Times New Roman" w:cs="Arial"/>
                <w:b/>
                <w:color w:val="000000"/>
                <w:szCs w:val="24"/>
                <w:u w:val="single"/>
                <w:lang w:eastAsia="en-GB"/>
              </w:rPr>
            </w:pPr>
            <w:r w:rsidRPr="004076EE">
              <w:rPr>
                <w:rFonts w:eastAsia="Times New Roman" w:cs="Arial"/>
                <w:b/>
                <w:color w:val="000000"/>
                <w:szCs w:val="24"/>
                <w:u w:val="single"/>
                <w:lang w:eastAsia="en-GB"/>
              </w:rPr>
              <w:lastRenderedPageBreak/>
              <w:t xml:space="preserve">To increase women’s power </w:t>
            </w:r>
            <w:r w:rsidRPr="004076EE">
              <w:rPr>
                <w:rFonts w:eastAsia="Times New Roman" w:cs="Arial"/>
                <w:b/>
                <w:color w:val="000000"/>
                <w:szCs w:val="24"/>
                <w:u w:val="single"/>
                <w:lang w:eastAsia="en-GB"/>
              </w:rPr>
              <w:br/>
              <w:t>and influence</w:t>
            </w:r>
          </w:p>
          <w:p w:rsidR="003B40EE" w:rsidRPr="004076EE" w:rsidRDefault="003B40EE" w:rsidP="004076EE">
            <w:pPr>
              <w:rPr>
                <w:rFonts w:eastAsia="Times New Roman" w:cs="Arial"/>
                <w:color w:val="000000"/>
                <w:szCs w:val="24"/>
                <w:u w:val="single"/>
                <w:lang w:eastAsia="en-GB"/>
              </w:rPr>
            </w:pPr>
          </w:p>
        </w:tc>
        <w:tc>
          <w:tcPr>
            <w:tcW w:w="3193" w:type="dxa"/>
            <w:noWrap/>
            <w:hideMark/>
          </w:tcPr>
          <w:p w:rsidR="004076EE" w:rsidRPr="004076EE" w:rsidRDefault="004076EE" w:rsidP="004076EE">
            <w:pPr>
              <w:rPr>
                <w:rFonts w:ascii="Times New Roman" w:eastAsia="Times New Roman" w:hAnsi="Times New Roman" w:cs="Times New Roman"/>
                <w:color w:val="3D3C3B"/>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315"/>
        </w:trPr>
        <w:tc>
          <w:tcPr>
            <w:tcW w:w="4094" w:type="dxa"/>
            <w:noWrap/>
            <w:hideMark/>
          </w:tcPr>
          <w:p w:rsidR="004076EE" w:rsidRPr="004076EE" w:rsidRDefault="004076EE" w:rsidP="004076EE">
            <w:pPr>
              <w:rPr>
                <w:rFonts w:ascii="Calibri" w:eastAsia="Times New Roman" w:hAnsi="Calibri" w:cs="Times New Roman"/>
                <w:b/>
                <w:bCs/>
                <w:color w:val="000000"/>
                <w:lang w:eastAsia="en-GB"/>
              </w:rPr>
            </w:pPr>
            <w:r w:rsidRPr="004076EE">
              <w:rPr>
                <w:rFonts w:ascii="Calibri" w:eastAsia="Times New Roman" w:hAnsi="Calibri" w:cs="Times New Roman"/>
                <w:b/>
                <w:bCs/>
                <w:color w:val="000000"/>
                <w:lang w:eastAsia="en-GB"/>
              </w:rPr>
              <w:t>Calls for Action</w:t>
            </w:r>
          </w:p>
        </w:tc>
        <w:tc>
          <w:tcPr>
            <w:tcW w:w="3193" w:type="dxa"/>
            <w:noWrap/>
            <w:hideMark/>
          </w:tcPr>
          <w:p w:rsidR="004076EE" w:rsidRPr="004076EE" w:rsidRDefault="004076EE" w:rsidP="004076EE">
            <w:pPr>
              <w:rPr>
                <w:rFonts w:ascii="Times New Roman" w:eastAsia="Times New Roman" w:hAnsi="Times New Roman" w:cs="Times New Roman"/>
                <w:b/>
                <w:bCs/>
                <w:color w:val="3D3C3B"/>
                <w:lang w:eastAsia="en-GB"/>
              </w:rPr>
            </w:pPr>
          </w:p>
        </w:tc>
        <w:tc>
          <w:tcPr>
            <w:tcW w:w="222" w:type="dxa"/>
            <w:noWrap/>
            <w:hideMark/>
          </w:tcPr>
          <w:p w:rsidR="004076EE" w:rsidRPr="004076EE" w:rsidRDefault="004076EE" w:rsidP="004076EE">
            <w:pPr>
              <w:rPr>
                <w:rFonts w:ascii="Calibri" w:eastAsia="Times New Roman" w:hAnsi="Calibri" w:cs="Times New Roman"/>
                <w:b/>
                <w:bCs/>
                <w:color w:val="000000"/>
                <w:lang w:eastAsia="en-GB"/>
              </w:rPr>
            </w:pPr>
          </w:p>
        </w:tc>
        <w:tc>
          <w:tcPr>
            <w:tcW w:w="5086" w:type="dxa"/>
            <w:hideMark/>
          </w:tcPr>
          <w:p w:rsidR="004076EE" w:rsidRPr="004076EE" w:rsidRDefault="004076EE" w:rsidP="004076EE">
            <w:pPr>
              <w:rPr>
                <w:rFonts w:eastAsia="Times New Roman" w:cs="Arial"/>
                <w:b/>
                <w:bCs/>
                <w:color w:val="000000"/>
                <w:szCs w:val="24"/>
                <w:lang w:eastAsia="en-GB"/>
              </w:rPr>
            </w:pPr>
          </w:p>
        </w:tc>
        <w:tc>
          <w:tcPr>
            <w:tcW w:w="280" w:type="dxa"/>
            <w:noWrap/>
            <w:hideMark/>
          </w:tcPr>
          <w:p w:rsidR="004076EE" w:rsidRPr="004076EE" w:rsidRDefault="004076EE" w:rsidP="004076EE">
            <w:pPr>
              <w:rPr>
                <w:rFonts w:ascii="Calibri" w:eastAsia="Times New Roman" w:hAnsi="Calibri" w:cs="Times New Roman"/>
                <w:b/>
                <w:bCs/>
                <w:color w:val="000000"/>
                <w:lang w:eastAsia="en-GB"/>
              </w:rPr>
            </w:pPr>
          </w:p>
        </w:tc>
        <w:tc>
          <w:tcPr>
            <w:tcW w:w="3700" w:type="dxa"/>
            <w:noWrap/>
            <w:hideMark/>
          </w:tcPr>
          <w:p w:rsidR="004076EE" w:rsidRPr="004076EE" w:rsidRDefault="004076EE" w:rsidP="004076EE">
            <w:pPr>
              <w:rPr>
                <w:rFonts w:ascii="Calibri" w:eastAsia="Times New Roman" w:hAnsi="Calibri" w:cs="Times New Roman"/>
                <w:b/>
                <w:bCs/>
                <w:color w:val="000000"/>
                <w:lang w:eastAsia="en-GB"/>
              </w:rPr>
            </w:pPr>
          </w:p>
        </w:tc>
      </w:tr>
      <w:tr w:rsidR="004076EE" w:rsidRPr="004076EE" w:rsidTr="00615DC4">
        <w:trPr>
          <w:trHeight w:val="243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17. Continuance and extension to all Parties of </w:t>
            </w:r>
            <w:r w:rsidRPr="004076EE">
              <w:rPr>
                <w:rFonts w:eastAsia="Times New Roman" w:cs="Arial"/>
                <w:color w:val="000000"/>
                <w:szCs w:val="24"/>
                <w:lang w:eastAsia="en-GB"/>
              </w:rPr>
              <w:br/>
              <w:t>all women shortlists for parliamentary candidates.</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“We remain committed to </w:t>
            </w:r>
            <w:r w:rsidRPr="004076EE">
              <w:rPr>
                <w:rFonts w:eastAsia="Times New Roman" w:cs="Arial"/>
                <w:color w:val="000000"/>
                <w:szCs w:val="24"/>
                <w:lang w:eastAsia="en-GB"/>
              </w:rPr>
              <w:br/>
              <w:t>achieving a better balance in Parliament, including through the use of all women shortlists in Labour Party parliamentary selection contests.” P(67)</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36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18. Regulation to require quangos and company </w:t>
            </w:r>
            <w:r w:rsidRPr="004076EE">
              <w:rPr>
                <w:rFonts w:eastAsia="Times New Roman" w:cs="Arial"/>
                <w:color w:val="000000"/>
                <w:szCs w:val="24"/>
                <w:lang w:eastAsia="en-GB"/>
              </w:rPr>
              <w:br/>
              <w:t>boards to appoint a minimum proportion of women. The voluntary approach is not working. Recruitment measures could include requiring executive search agencies to include women on their shortlists and for internal promotions to include women shortlists.</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hideMark/>
          </w:tcPr>
          <w:p w:rsidR="004076EE" w:rsidRPr="004076EE" w:rsidRDefault="004076EE" w:rsidP="00240331">
            <w:pPr>
              <w:rPr>
                <w:rFonts w:ascii="Calibri" w:eastAsia="Times New Roman" w:hAnsi="Calibri" w:cs="Times New Roman"/>
                <w:color w:val="000000"/>
                <w:lang w:eastAsia="en-GB"/>
              </w:rPr>
            </w:pPr>
            <w:r w:rsidRPr="004076EE">
              <w:rPr>
                <w:rFonts w:ascii="Calibri" w:eastAsia="Times New Roman" w:hAnsi="Calibri" w:cs="Times New Roman"/>
                <w:color w:val="000000"/>
                <w:lang w:eastAsia="en-GB"/>
              </w:rPr>
              <w:t xml:space="preserve">• Set a goal for fifty per cent of ministerial </w:t>
            </w:r>
            <w:proofErr w:type="spellStart"/>
            <w:r w:rsidRPr="004076EE">
              <w:rPr>
                <w:rFonts w:ascii="Calibri" w:eastAsia="Times New Roman" w:hAnsi="Calibri" w:cs="Times New Roman"/>
                <w:color w:val="000000"/>
                <w:lang w:eastAsia="en-GB"/>
              </w:rPr>
              <w:t>appointmentsto</w:t>
            </w:r>
            <w:proofErr w:type="spellEnd"/>
            <w:r w:rsidRPr="004076EE">
              <w:rPr>
                <w:rFonts w:ascii="Calibri" w:eastAsia="Times New Roman" w:hAnsi="Calibri" w:cs="Times New Roman"/>
                <w:color w:val="000000"/>
                <w:lang w:eastAsia="en-GB"/>
              </w:rPr>
              <w:t xml:space="preserve"> public boards to be women. (Women's Manifesto)</w:t>
            </w: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1725"/>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19. Criteria for appointment should be subject to </w:t>
            </w:r>
            <w:r w:rsidRPr="004076EE">
              <w:rPr>
                <w:rFonts w:eastAsia="Times New Roman" w:cs="Arial"/>
                <w:color w:val="000000"/>
                <w:szCs w:val="24"/>
                <w:lang w:eastAsia="en-GB"/>
              </w:rPr>
              <w:br/>
              <w:t>consultation/agreement with relevant VCS groups, particularly women’s organisations.</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186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20. Criteria requiring previous experience of </w:t>
            </w:r>
            <w:r w:rsidRPr="004076EE">
              <w:rPr>
                <w:rFonts w:eastAsia="Times New Roman" w:cs="Arial"/>
                <w:color w:val="000000"/>
                <w:szCs w:val="24"/>
                <w:lang w:eastAsia="en-GB"/>
              </w:rPr>
              <w:br/>
              <w:t>working on Boards/quangos should be banned.</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r w:rsidR="004076EE" w:rsidRPr="004076EE" w:rsidTr="00615DC4">
        <w:trPr>
          <w:trHeight w:val="36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lastRenderedPageBreak/>
              <w:t xml:space="preserve">21. A boardroom diversity strategy that would </w:t>
            </w:r>
            <w:r w:rsidRPr="004076EE">
              <w:rPr>
                <w:rFonts w:eastAsia="Times New Roman" w:cs="Arial"/>
                <w:color w:val="000000"/>
                <w:szCs w:val="24"/>
                <w:lang w:eastAsia="en-GB"/>
              </w:rPr>
              <w:br/>
              <w:t>entail reporting on boardroom diversity policy, including policy relating to gender, a ‘comply or explain’ regime which would help to improve transparency, along the lines of measures introduced by the Prudential Regulation Authority. We would like to see this extended to all large public and private sector companies.</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Require diversity in Public </w:t>
            </w:r>
            <w:r w:rsidRPr="004076EE">
              <w:rPr>
                <w:rFonts w:eastAsia="Times New Roman" w:cs="Arial"/>
                <w:color w:val="000000"/>
                <w:szCs w:val="24"/>
                <w:lang w:eastAsia="en-GB"/>
              </w:rPr>
              <w:br/>
              <w:t>Appointments. We will introduce a presumption that every shortlist should include a BAME candidate. We will establish an independent committee that will monitor the drive for greater diversity in public appointments and verify the independence of the appointment process to public bodies, boards and institutions.” P(109)</w:t>
            </w:r>
          </w:p>
        </w:tc>
      </w:tr>
      <w:tr w:rsidR="004076EE" w:rsidRPr="004076EE" w:rsidTr="00615DC4">
        <w:trPr>
          <w:trHeight w:val="4200"/>
        </w:trPr>
        <w:tc>
          <w:tcPr>
            <w:tcW w:w="4094" w:type="dxa"/>
            <w:hideMark/>
          </w:tcPr>
          <w:p w:rsidR="004076EE" w:rsidRPr="004076EE" w:rsidRDefault="004076EE" w:rsidP="004076EE">
            <w:pPr>
              <w:rPr>
                <w:rFonts w:eastAsia="Times New Roman" w:cs="Arial"/>
                <w:color w:val="000000"/>
                <w:szCs w:val="24"/>
                <w:lang w:eastAsia="en-GB"/>
              </w:rPr>
            </w:pPr>
            <w:r w:rsidRPr="004076EE">
              <w:rPr>
                <w:rFonts w:eastAsia="Times New Roman" w:cs="Arial"/>
                <w:color w:val="000000"/>
                <w:szCs w:val="24"/>
                <w:lang w:eastAsia="en-GB"/>
              </w:rPr>
              <w:t xml:space="preserve">22. Regulations should require that the hours of </w:t>
            </w:r>
            <w:r w:rsidRPr="004076EE">
              <w:rPr>
                <w:rFonts w:eastAsia="Times New Roman" w:cs="Arial"/>
                <w:color w:val="000000"/>
                <w:szCs w:val="24"/>
                <w:lang w:eastAsia="en-GB"/>
              </w:rPr>
              <w:br/>
              <w:t>meetings and the work of political bodies, quangos and boards are set to encourage a diversity of attendance, including for carers, people with disabilities, the elderly, and people with timed commitments such as the employed or students. The promotion of flexible and/or part-time working at senior levels should be encouraged within organisations, especially by those already working at senior levels.</w:t>
            </w:r>
          </w:p>
        </w:tc>
        <w:tc>
          <w:tcPr>
            <w:tcW w:w="3193" w:type="dxa"/>
            <w:noWrap/>
            <w:hideMark/>
          </w:tcPr>
          <w:p w:rsidR="004076EE" w:rsidRPr="004076EE" w:rsidRDefault="004076EE" w:rsidP="004076EE">
            <w:pPr>
              <w:rPr>
                <w:rFonts w:ascii="Calibri" w:eastAsia="Times New Roman" w:hAnsi="Calibri" w:cs="Times New Roman"/>
                <w:color w:val="000000"/>
                <w:lang w:eastAsia="en-GB"/>
              </w:rPr>
            </w:pPr>
          </w:p>
        </w:tc>
        <w:tc>
          <w:tcPr>
            <w:tcW w:w="222" w:type="dxa"/>
            <w:noWrap/>
            <w:hideMark/>
          </w:tcPr>
          <w:p w:rsidR="004076EE" w:rsidRPr="004076EE" w:rsidRDefault="004076EE" w:rsidP="004076EE">
            <w:pPr>
              <w:rPr>
                <w:rFonts w:ascii="Calibri" w:eastAsia="Times New Roman" w:hAnsi="Calibri" w:cs="Times New Roman"/>
                <w:color w:val="000000"/>
                <w:lang w:eastAsia="en-GB"/>
              </w:rPr>
            </w:pPr>
          </w:p>
        </w:tc>
        <w:tc>
          <w:tcPr>
            <w:tcW w:w="5086" w:type="dxa"/>
            <w:noWrap/>
            <w:hideMark/>
          </w:tcPr>
          <w:p w:rsidR="004076EE" w:rsidRPr="004076EE" w:rsidRDefault="004076EE" w:rsidP="004076EE">
            <w:pPr>
              <w:rPr>
                <w:rFonts w:ascii="Calibri" w:eastAsia="Times New Roman" w:hAnsi="Calibri" w:cs="Times New Roman"/>
                <w:color w:val="000000"/>
                <w:lang w:eastAsia="en-GB"/>
              </w:rPr>
            </w:pPr>
          </w:p>
        </w:tc>
        <w:tc>
          <w:tcPr>
            <w:tcW w:w="280" w:type="dxa"/>
            <w:noWrap/>
            <w:hideMark/>
          </w:tcPr>
          <w:p w:rsidR="004076EE" w:rsidRPr="004076EE" w:rsidRDefault="004076EE" w:rsidP="004076EE">
            <w:pPr>
              <w:rPr>
                <w:rFonts w:ascii="Calibri" w:eastAsia="Times New Roman" w:hAnsi="Calibri" w:cs="Times New Roman"/>
                <w:color w:val="000000"/>
                <w:lang w:eastAsia="en-GB"/>
              </w:rPr>
            </w:pPr>
          </w:p>
        </w:tc>
        <w:tc>
          <w:tcPr>
            <w:tcW w:w="3700" w:type="dxa"/>
            <w:noWrap/>
            <w:hideMark/>
          </w:tcPr>
          <w:p w:rsidR="004076EE" w:rsidRPr="004076EE" w:rsidRDefault="004076EE" w:rsidP="004076EE">
            <w:pPr>
              <w:rPr>
                <w:rFonts w:ascii="Calibri" w:eastAsia="Times New Roman" w:hAnsi="Calibri" w:cs="Times New Roman"/>
                <w:color w:val="000000"/>
                <w:lang w:eastAsia="en-GB"/>
              </w:rPr>
            </w:pPr>
          </w:p>
        </w:tc>
      </w:tr>
    </w:tbl>
    <w:p w:rsidR="00061C10" w:rsidRPr="003B40EE" w:rsidRDefault="00061C10">
      <w:pPr>
        <w:rPr>
          <w:sz w:val="22"/>
        </w:rPr>
      </w:pPr>
    </w:p>
    <w:sectPr w:rsidR="00061C10" w:rsidRPr="003B40EE" w:rsidSect="00166AFC">
      <w:pgSz w:w="16838" w:h="11906" w:orient="landscape"/>
      <w:pgMar w:top="284" w:right="57" w:bottom="28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Regular-Identity-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D0"/>
    <w:rsid w:val="00061C10"/>
    <w:rsid w:val="00166AFC"/>
    <w:rsid w:val="00240331"/>
    <w:rsid w:val="0035334D"/>
    <w:rsid w:val="003B40EE"/>
    <w:rsid w:val="004076EE"/>
    <w:rsid w:val="00486A02"/>
    <w:rsid w:val="00615DC4"/>
    <w:rsid w:val="00A52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4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4D"/>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6754">
      <w:bodyDiv w:val="1"/>
      <w:marLeft w:val="0"/>
      <w:marRight w:val="0"/>
      <w:marTop w:val="0"/>
      <w:marBottom w:val="0"/>
      <w:divBdr>
        <w:top w:val="none" w:sz="0" w:space="0" w:color="auto"/>
        <w:left w:val="none" w:sz="0" w:space="0" w:color="auto"/>
        <w:bottom w:val="none" w:sz="0" w:space="0" w:color="auto"/>
        <w:right w:val="none" w:sz="0" w:space="0" w:color="auto"/>
      </w:divBdr>
    </w:div>
    <w:div w:id="1043287036">
      <w:bodyDiv w:val="1"/>
      <w:marLeft w:val="0"/>
      <w:marRight w:val="0"/>
      <w:marTop w:val="0"/>
      <w:marBottom w:val="0"/>
      <w:divBdr>
        <w:top w:val="none" w:sz="0" w:space="0" w:color="auto"/>
        <w:left w:val="none" w:sz="0" w:space="0" w:color="auto"/>
        <w:bottom w:val="none" w:sz="0" w:space="0" w:color="auto"/>
        <w:right w:val="none" w:sz="0" w:space="0" w:color="auto"/>
      </w:divBdr>
    </w:div>
    <w:div w:id="20107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Jackie</cp:lastModifiedBy>
  <cp:revision>4</cp:revision>
  <dcterms:created xsi:type="dcterms:W3CDTF">2015-04-30T12:35:00Z</dcterms:created>
  <dcterms:modified xsi:type="dcterms:W3CDTF">2015-04-30T14:51:00Z</dcterms:modified>
</cp:coreProperties>
</file>