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FF" w:rsidRDefault="00BE64CD" w:rsidP="00BE64CD">
      <w:pPr>
        <w:pStyle w:val="Title"/>
        <w:rPr>
          <w:sz w:val="36"/>
        </w:rPr>
      </w:pPr>
      <w:r w:rsidRPr="00BE64CD">
        <w:rPr>
          <w:sz w:val="36"/>
        </w:rPr>
        <w:t>The Gender Pay Gap and</w:t>
      </w:r>
      <w:r>
        <w:rPr>
          <w:sz w:val="36"/>
        </w:rPr>
        <w:t xml:space="preserve"> what is needed to eliminate it.</w:t>
      </w:r>
      <w:r w:rsidRPr="00BE64CD">
        <w:rPr>
          <w:sz w:val="36"/>
        </w:rPr>
        <w:t xml:space="preserve"> Appendix 1: Detailed Data on occupational segregation.</w:t>
      </w:r>
    </w:p>
    <w:p w:rsidR="00870A18" w:rsidRDefault="00870A18" w:rsidP="00870A18">
      <w:r>
        <w:t>The ONS ASHE data</w:t>
      </w:r>
      <w:r>
        <w:rPr>
          <w:rStyle w:val="EndnoteReference"/>
        </w:rPr>
        <w:endnoteReference w:id="1"/>
      </w:r>
      <w:r>
        <w:t xml:space="preserve"> for pay rates in different occupations are detailed and allow many conclusions about pay gaps to be drawn when studied in depth.</w:t>
      </w:r>
      <w:r w:rsidR="0017293C">
        <w:t xml:space="preserve"> Here only a small part of the information analysed is presented.</w:t>
      </w:r>
    </w:p>
    <w:p w:rsidR="00D07AC3" w:rsidRDefault="00674E0A" w:rsidP="00870A18">
      <w:r>
        <w:t>Firstly, t</w:t>
      </w:r>
      <w:r w:rsidR="00D07AC3">
        <w:t xml:space="preserve">he top employment occupations (by numbers employed) differ significantly for </w:t>
      </w:r>
      <w:r w:rsidR="00E75A61">
        <w:t>male and female</w:t>
      </w:r>
      <w:r w:rsidR="00D07AC3">
        <w:t xml:space="preserve"> employees, and to a lesser extent between full time </w:t>
      </w:r>
      <w:r w:rsidR="00E75A61">
        <w:t>and part time women,</w:t>
      </w:r>
      <w:r w:rsidR="00D07AC3">
        <w:t xml:space="preserve"> </w:t>
      </w:r>
      <w:r w:rsidR="00E75A61">
        <w:t>a</w:t>
      </w:r>
      <w:r w:rsidR="00D07AC3">
        <w:t>s shown in these tables.</w:t>
      </w:r>
    </w:p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5560"/>
        <w:gridCol w:w="1880"/>
        <w:gridCol w:w="1480"/>
      </w:tblGrid>
      <w:tr w:rsidR="004143C3" w:rsidRPr="004143C3" w:rsidTr="004143C3">
        <w:trPr>
          <w:trHeight w:val="94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E75A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Seven Most Common </w:t>
            </w:r>
            <w:r w:rsidR="00E75A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Occupations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Median Gross </w:t>
            </w: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Hourly Pay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Number employed</w:t>
            </w: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  <w:t>(thousands)</w:t>
            </w:r>
          </w:p>
        </w:tc>
      </w:tr>
      <w:tr w:rsidR="004143C3" w:rsidRPr="004143C3" w:rsidTr="004143C3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143C3" w:rsidRPr="004143C3" w:rsidTr="004143C3">
        <w:trPr>
          <w:trHeight w:val="37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Full Time Men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Managers, directors and senior officials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1,420</w:t>
            </w: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Skilled metal, electrical and electronic trades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943</w:t>
            </w: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Science, research, engineering and technology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19.92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937</w:t>
            </w: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Business, media and public service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19.85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713</w:t>
            </w: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Transport and mobile machine drivers and operatives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602</w:t>
            </w: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Sales, marketing and related associate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550</w:t>
            </w:r>
          </w:p>
        </w:tc>
      </w:tr>
      <w:tr w:rsidR="003103EF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Process, plant and machine operatives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10.34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</w:tr>
      <w:tr w:rsidR="003103EF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103EF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5,709.00</w:t>
            </w:r>
          </w:p>
        </w:tc>
      </w:tr>
      <w:tr w:rsidR="003103EF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3103EF" w:rsidRDefault="003103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Weighted mean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103EF" w:rsidRDefault="003103E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3C3" w:rsidRPr="004143C3" w:rsidTr="004143C3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14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Full Time Women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143C3" w:rsidRPr="004143C3" w:rsidTr="004143C3">
        <w:trPr>
          <w:trHeight w:val="3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Caring personal service occupations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8.43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764</w:t>
            </w:r>
          </w:p>
        </w:tc>
      </w:tr>
      <w:tr w:rsidR="004143C3" w:rsidRPr="004143C3" w:rsidTr="004143C3">
        <w:trPr>
          <w:trHeight w:val="45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Health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17.05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666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Managers, directors and senior officials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17.73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630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Teaching and educational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20.94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568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Business, media and public service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17.88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443</w:t>
            </w:r>
          </w:p>
        </w:tc>
      </w:tr>
      <w:tr w:rsidR="004143C3" w:rsidRPr="004143C3" w:rsidTr="004143C3">
        <w:trPr>
          <w:trHeight w:val="48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Other administrative occupations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9.78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Sales, marketing and related associate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15.33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326</w:t>
            </w: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107.14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3,811.00</w:t>
            </w: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Weighted mean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15.17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75A61" w:rsidRDefault="00E75A61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E75A61" w:rsidRPr="004143C3" w:rsidRDefault="00E75A61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3C3" w:rsidRPr="004143C3" w:rsidTr="004143C3">
        <w:trPr>
          <w:trHeight w:val="31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143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Part Time Women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143C3" w:rsidRPr="004143C3" w:rsidTr="004143C3">
        <w:trPr>
          <w:trHeight w:val="51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Caring personal service occupations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8.23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943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Sales occupations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6.87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679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Health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404</w:t>
            </w:r>
          </w:p>
        </w:tc>
      </w:tr>
      <w:tr w:rsidR="004143C3" w:rsidRPr="004143C3" w:rsidTr="004143C3">
        <w:trPr>
          <w:trHeight w:val="54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Cleaners and domestics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6.80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</w:tr>
      <w:tr w:rsidR="004143C3" w:rsidRPr="004143C3" w:rsidTr="004143C3">
        <w:trPr>
          <w:trHeight w:val="49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Other administrative occupations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9.10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346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Teaching and educational professionals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22.35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310</w:t>
            </w:r>
          </w:p>
        </w:tc>
      </w:tr>
      <w:tr w:rsidR="004143C3" w:rsidRPr="004143C3" w:rsidTr="004143C3">
        <w:trPr>
          <w:trHeight w:val="52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Secretarial and related occupations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8.84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277</w:t>
            </w: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79.45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color w:val="000000"/>
                <w:lang w:eastAsia="en-GB"/>
              </w:rPr>
              <w:t>3,333.00</w:t>
            </w:r>
          </w:p>
        </w:tc>
      </w:tr>
      <w:tr w:rsidR="004143C3" w:rsidRPr="004143C3" w:rsidTr="004143C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143C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Weighted Mean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143C3" w:rsidRPr="004143C3" w:rsidRDefault="004143C3" w:rsidP="004143C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4143C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</w:tr>
    </w:tbl>
    <w:p w:rsidR="00B1473D" w:rsidRDefault="00B1473D" w:rsidP="00870A18"/>
    <w:p w:rsidR="004E64E2" w:rsidRDefault="00F94BC1" w:rsidP="00870A18">
      <w:r w:rsidRPr="001821BB">
        <w:t xml:space="preserve">Of particular note is that </w:t>
      </w:r>
      <w:r w:rsidR="001821BB" w:rsidRPr="001821BB">
        <w:t>o</w:t>
      </w:r>
      <w:r w:rsidR="00260947" w:rsidRPr="001821BB">
        <w:t xml:space="preserve">nly </w:t>
      </w:r>
      <w:r w:rsidR="003103EF">
        <w:t>three</w:t>
      </w:r>
      <w:r w:rsidR="00260947" w:rsidRPr="001821BB">
        <w:t xml:space="preserve"> of the top seven occupational groups employing men </w:t>
      </w:r>
      <w:r w:rsidR="001821BB" w:rsidRPr="001821BB">
        <w:t>are also</w:t>
      </w:r>
      <w:r w:rsidR="00D82386" w:rsidRPr="001821BB">
        <w:t xml:space="preserve"> included in the list of top seven for women</w:t>
      </w:r>
      <w:r w:rsidR="001821BB" w:rsidRPr="001821BB">
        <w:t xml:space="preserve">. </w:t>
      </w:r>
      <w:r w:rsidR="003103EF">
        <w:t>All three</w:t>
      </w:r>
      <w:r w:rsidR="001821BB" w:rsidRPr="001821BB">
        <w:t xml:space="preserve"> are very largely full time </w:t>
      </w:r>
      <w:r w:rsidR="00004590">
        <w:t xml:space="preserve">men and </w:t>
      </w:r>
      <w:r w:rsidR="001821BB" w:rsidRPr="001821BB">
        <w:t>women</w:t>
      </w:r>
      <w:r w:rsidR="00004590">
        <w:t xml:space="preserve">, employing between 6% and </w:t>
      </w:r>
      <w:r w:rsidR="003103EF">
        <w:t>9</w:t>
      </w:r>
      <w:r w:rsidR="00004590">
        <w:t>% part time women</w:t>
      </w:r>
      <w:r w:rsidR="00C053F2">
        <w:t>.</w:t>
      </w:r>
      <w:r w:rsidR="004E64E2">
        <w:t xml:space="preserve"> </w:t>
      </w:r>
      <w:r w:rsidR="007F0B5B">
        <w:t>For</w:t>
      </w:r>
      <w:r w:rsidR="00C053F2" w:rsidRPr="001821BB">
        <w:t xml:space="preserve"> “Managers, Directors and Senior Officials” the median gross hourly pay gaps are 16.2% for full time women and 33.9% for part time, compared with full time men</w:t>
      </w:r>
      <w:r w:rsidR="00C053F2">
        <w:t xml:space="preserve"> (figure A1.1).</w:t>
      </w:r>
      <w:r w:rsidR="007F0B5B">
        <w:t xml:space="preserve"> The </w:t>
      </w:r>
      <w:r w:rsidR="00B1473D">
        <w:t xml:space="preserve">median </w:t>
      </w:r>
      <w:r w:rsidR="007F0B5B">
        <w:t>pay gaps are similar for “Sales, Marketing and Related Associate Professionals”</w:t>
      </w:r>
      <w:r w:rsidR="00B1473D">
        <w:t xml:space="preserve"> at 15% and 39.5% respectively.</w:t>
      </w:r>
      <w:r w:rsidR="003A5EF9">
        <w:t xml:space="preserve"> For full time “Business, Media and Public Service Professionals” the median gross hourly pay gap is lower at 10%.</w:t>
      </w:r>
    </w:p>
    <w:p w:rsidR="004E64E2" w:rsidRDefault="004E64E2" w:rsidP="00870A18">
      <w:r>
        <w:rPr>
          <w:noProof/>
          <w:lang w:eastAsia="en-GB"/>
        </w:rPr>
        <w:drawing>
          <wp:inline distT="0" distB="0" distL="0" distR="0" wp14:anchorId="3813378F" wp14:editId="544746E9">
            <wp:extent cx="5943600" cy="2605405"/>
            <wp:effectExtent l="0" t="0" r="19050" b="234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4590" w:rsidRDefault="00C053F2" w:rsidP="00870A18">
      <w:r>
        <w:t>N</w:t>
      </w:r>
      <w:r w:rsidR="00004590">
        <w:t>one of the top seven occupations for part time women are in the top seven for full time men.</w:t>
      </w:r>
      <w:r w:rsidR="00004590" w:rsidRPr="00004590">
        <w:t xml:space="preserve"> </w:t>
      </w:r>
      <w:r w:rsidR="00004590" w:rsidRPr="001821BB">
        <w:t>The small number of opportunities for flexible working in senior jobs is a well-established contributor to the gender pay gap.</w:t>
      </w:r>
    </w:p>
    <w:p w:rsidR="00F112E9" w:rsidRDefault="00004590" w:rsidP="001A5C0C">
      <w:r>
        <w:t xml:space="preserve">Also of note is the divide between what are called “professions” (higher paid) and “occupations” (lower paid) of full time and part time women respectively. </w:t>
      </w:r>
      <w:r w:rsidR="00DA1279">
        <w:t xml:space="preserve">Both </w:t>
      </w:r>
      <w:r w:rsidR="00B1473D">
        <w:t xml:space="preserve">lists </w:t>
      </w:r>
      <w:r w:rsidR="00DA1279">
        <w:t xml:space="preserve">are topped by the caring personal service occupations which </w:t>
      </w:r>
      <w:r w:rsidR="00BF5E04">
        <w:t>are</w:t>
      </w:r>
      <w:r w:rsidR="00DA1279">
        <w:t xml:space="preserve"> low paid for both full time</w:t>
      </w:r>
      <w:r w:rsidR="001A5C0C">
        <w:t xml:space="preserve"> employees</w:t>
      </w:r>
      <w:r w:rsidR="00DA1279">
        <w:t xml:space="preserve"> and part time women</w:t>
      </w:r>
      <w:r w:rsidR="00BF5E04">
        <w:t xml:space="preserve"> and </w:t>
      </w:r>
      <w:r w:rsidR="001A5C0C">
        <w:t xml:space="preserve">this </w:t>
      </w:r>
      <w:r w:rsidR="00BF5E04">
        <w:t xml:space="preserve">is </w:t>
      </w:r>
      <w:r w:rsidR="00B1473D">
        <w:t>one of only a few</w:t>
      </w:r>
      <w:r w:rsidR="00BF5E04">
        <w:t xml:space="preserve"> occupation</w:t>
      </w:r>
      <w:r w:rsidR="001A5C0C">
        <w:t>al group</w:t>
      </w:r>
      <w:r w:rsidR="00B1473D">
        <w:t>s</w:t>
      </w:r>
      <w:r w:rsidR="00BF5E04">
        <w:t xml:space="preserve"> which</w:t>
      </w:r>
      <w:r w:rsidR="001A5C0C">
        <w:t xml:space="preserve"> has more part time women than full time (</w:t>
      </w:r>
      <w:r w:rsidR="00BF5E04">
        <w:t>50% part time women, 40% full time women and 10% full time men</w:t>
      </w:r>
      <w:r w:rsidR="001A5C0C">
        <w:t>)</w:t>
      </w:r>
      <w:r w:rsidR="00DA1279">
        <w:t>.</w:t>
      </w:r>
      <w:r w:rsidR="001A5C0C">
        <w:t xml:space="preserve"> </w:t>
      </w:r>
      <w:r w:rsidR="00B1473D">
        <w:t>Pay</w:t>
      </w:r>
      <w:r w:rsidR="00F112E9">
        <w:t xml:space="preserve"> and pay gaps are</w:t>
      </w:r>
      <w:r w:rsidR="00B1473D">
        <w:t xml:space="preserve"> low across the whole distribution</w:t>
      </w:r>
      <w:r w:rsidR="00F112E9">
        <w:t xml:space="preserve">. </w:t>
      </w:r>
    </w:p>
    <w:p w:rsidR="00F112E9" w:rsidRDefault="00F112E9" w:rsidP="001A5C0C">
      <w:r>
        <w:lastRenderedPageBreak/>
        <w:t xml:space="preserve">On the other hand, in sales, very few </w:t>
      </w:r>
      <w:r w:rsidR="001A5C0C">
        <w:t>women</w:t>
      </w:r>
      <w:r>
        <w:t xml:space="preserve"> who work part time are </w:t>
      </w:r>
      <w:r w:rsidR="001A5C0C">
        <w:t xml:space="preserve">in jobs classed as </w:t>
      </w:r>
      <w:r>
        <w:t xml:space="preserve">‘associate </w:t>
      </w:r>
      <w:r w:rsidR="001A5C0C">
        <w:t>professionals</w:t>
      </w:r>
      <w:r>
        <w:t>’</w:t>
      </w:r>
      <w:r w:rsidR="001A5C0C">
        <w:t xml:space="preserve">, whereas part time women </w:t>
      </w:r>
      <w:r>
        <w:t>predominate</w:t>
      </w:r>
      <w:r w:rsidR="001A5C0C">
        <w:t xml:space="preserve"> in jobs classed as </w:t>
      </w:r>
      <w:r>
        <w:t>‘</w:t>
      </w:r>
      <w:r w:rsidR="001A5C0C">
        <w:t>occupations</w:t>
      </w:r>
      <w:r>
        <w:t>’ (Figure A1.2).</w:t>
      </w:r>
      <w:r w:rsidR="001A5C0C">
        <w:t xml:space="preserve"> </w:t>
      </w:r>
      <w:r>
        <w:rPr>
          <w:noProof/>
          <w:lang w:eastAsia="en-GB"/>
        </w:rPr>
        <w:drawing>
          <wp:inline distT="0" distB="0" distL="0" distR="0" wp14:anchorId="790109D1" wp14:editId="0B45703C">
            <wp:extent cx="6142008" cy="2544792"/>
            <wp:effectExtent l="0" t="0" r="11430" b="273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67E4" w:rsidRDefault="004667E4" w:rsidP="001A5C0C">
      <w:r>
        <w:t>This matters because the pay gaps between these occupational groups are much higher than the pay gaps within them</w:t>
      </w:r>
      <w:r w:rsidR="008F4EA8">
        <w:t>, particularly the full time pay gap</w:t>
      </w:r>
      <w:r>
        <w:t xml:space="preserve"> (Figure A1.3). </w:t>
      </w:r>
      <w:r w:rsidR="006B5E7E">
        <w:rPr>
          <w:noProof/>
          <w:lang w:eastAsia="en-GB"/>
        </w:rPr>
        <w:drawing>
          <wp:inline distT="0" distB="0" distL="0" distR="0" wp14:anchorId="5A8D9091" wp14:editId="367D59D6">
            <wp:extent cx="6185140" cy="2493034"/>
            <wp:effectExtent l="0" t="0" r="25400" b="2159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67E4" w:rsidRDefault="0017293C" w:rsidP="001A5C0C">
      <w:r>
        <w:t>However, the pay distributions</w:t>
      </w:r>
      <w:r w:rsidR="004667E4">
        <w:t xml:space="preserve"> confirm</w:t>
      </w:r>
      <w:r w:rsidR="006B5E7E">
        <w:t xml:space="preserve"> that pay gaps widen as pay increases</w:t>
      </w:r>
      <w:r w:rsidR="00855F63">
        <w:t xml:space="preserve"> for both</w:t>
      </w:r>
      <w:r w:rsidR="006B5E7E">
        <w:t xml:space="preserve"> (figure A1.4). </w:t>
      </w:r>
      <w:r w:rsidR="006B5E7E">
        <w:rPr>
          <w:noProof/>
          <w:lang w:eastAsia="en-GB"/>
        </w:rPr>
        <w:drawing>
          <wp:inline distT="0" distB="0" distL="0" distR="0" wp14:anchorId="0A246CC3" wp14:editId="200F8458">
            <wp:extent cx="5719313" cy="3010619"/>
            <wp:effectExtent l="0" t="0" r="15240" b="1841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A5C0C" w:rsidRDefault="001A5C0C" w:rsidP="001A5C0C">
      <w:r>
        <w:lastRenderedPageBreak/>
        <w:t xml:space="preserve">This job segregation between occupational groups is not a surprise, </w:t>
      </w:r>
      <w:r w:rsidR="006B5E7E">
        <w:t>but ther</w:t>
      </w:r>
      <w:r w:rsidR="0055628C">
        <w:t>e are exceptions; these are</w:t>
      </w:r>
      <w:r>
        <w:t xml:space="preserve"> the Health and Teaching Professionals groups, both of which offer high paid jobs to part time women, indeed </w:t>
      </w:r>
      <w:r w:rsidR="00E54F21">
        <w:t>in some cases</w:t>
      </w:r>
      <w:r>
        <w:t xml:space="preserve"> even higher paid than full time women though the differences are generally small. The distributions for these</w:t>
      </w:r>
      <w:r w:rsidR="00E828FF">
        <w:t xml:space="preserve"> two professions however paint</w:t>
      </w:r>
      <w:r>
        <w:t xml:space="preserve"> rather different picture</w:t>
      </w:r>
      <w:r w:rsidR="00E828FF">
        <w:t>s</w:t>
      </w:r>
      <w:r w:rsidR="006B5E7E">
        <w:t xml:space="preserve"> (see figures A1.5 and A1.6</w:t>
      </w:r>
      <w:r w:rsidR="00C053F2">
        <w:t>)</w:t>
      </w:r>
      <w:r>
        <w:t>.</w:t>
      </w:r>
      <w:r w:rsidR="00C053F2">
        <w:t xml:space="preserve"> </w:t>
      </w:r>
    </w:p>
    <w:p w:rsidR="00E54F21" w:rsidRDefault="00C053F2" w:rsidP="00870A18">
      <w:r>
        <w:t xml:space="preserve">In the teaching profession, there is </w:t>
      </w:r>
      <w:r w:rsidR="008F4EA8">
        <w:t>only a small</w:t>
      </w:r>
      <w:r>
        <w:t xml:space="preserve"> gap across the whole distribution.</w:t>
      </w:r>
      <w:r w:rsidR="006B5E7E">
        <w:t xml:space="preserve"> </w:t>
      </w:r>
      <w:r w:rsidR="00E54F21">
        <w:rPr>
          <w:noProof/>
          <w:lang w:eastAsia="en-GB"/>
        </w:rPr>
        <w:drawing>
          <wp:inline distT="0" distB="0" distL="0" distR="0" wp14:anchorId="60C94466" wp14:editId="2451F3B5">
            <wp:extent cx="5943600" cy="2708694"/>
            <wp:effectExtent l="0" t="0" r="19050" b="158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28FF" w:rsidRDefault="00E54F21" w:rsidP="00E54F21">
      <w:r>
        <w:t xml:space="preserve">Amongst health professionals there is a very marked trend for there to be more men at the higher pay end of the distribution; at the 75% level the pay gap is 35% for both full time and part time women and at the 90% level it is over 47%. </w:t>
      </w:r>
      <w:r w:rsidR="00E828FF">
        <w:rPr>
          <w:noProof/>
          <w:lang w:eastAsia="en-GB"/>
        </w:rPr>
        <w:drawing>
          <wp:inline distT="0" distB="0" distL="0" distR="0" wp14:anchorId="26CEEA29" wp14:editId="6AF9DEA4">
            <wp:extent cx="5943600" cy="2769079"/>
            <wp:effectExtent l="0" t="0" r="190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4F21" w:rsidRDefault="00E54F21" w:rsidP="00E54F21">
      <w:r>
        <w:t xml:space="preserve">Closer inspection of the details reveals that this </w:t>
      </w:r>
      <w:r w:rsidR="006B5E7E">
        <w:t xml:space="preserve">is </w:t>
      </w:r>
      <w:r>
        <w:t xml:space="preserve">largely due to job segregation WITHIN the occupational group, with more men in the higher paid </w:t>
      </w:r>
      <w:r w:rsidR="00C61268">
        <w:t>medical</w:t>
      </w:r>
      <w:r>
        <w:t xml:space="preserve"> professions and more women in </w:t>
      </w:r>
      <w:r w:rsidR="00C61268">
        <w:t xml:space="preserve">the lower paid </w:t>
      </w:r>
      <w:r>
        <w:t xml:space="preserve">nursing </w:t>
      </w:r>
      <w:r w:rsidR="00C61268">
        <w:t>professions.</w:t>
      </w:r>
      <w:r w:rsidR="00E828FF">
        <w:t xml:space="preserve"> Figure A1.</w:t>
      </w:r>
      <w:r w:rsidR="006B5E7E">
        <w:t>7</w:t>
      </w:r>
      <w:r w:rsidR="00E828FF">
        <w:t xml:space="preserve"> shows that pay gaps amongst nurses are small, that pay gaps amongst medical professions are large and that the pay gap between nurses and medical staff is even bigger.</w:t>
      </w:r>
    </w:p>
    <w:p w:rsidR="00C61268" w:rsidRDefault="00C61268" w:rsidP="00E54F21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7F54CEA9" wp14:editId="7389209A">
            <wp:extent cx="6357668" cy="3450567"/>
            <wp:effectExtent l="0" t="0" r="24130" b="171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5CA6" w:rsidRDefault="00135CA6" w:rsidP="00E54F21">
      <w:pPr>
        <w:rPr>
          <w:b/>
        </w:rPr>
      </w:pPr>
      <w:bookmarkStart w:id="0" w:name="_GoBack"/>
      <w:bookmarkEnd w:id="0"/>
    </w:p>
    <w:p w:rsidR="001821BB" w:rsidRDefault="001821BB" w:rsidP="00870A18"/>
    <w:p w:rsidR="006B5E7E" w:rsidRDefault="006B5E7E" w:rsidP="00870A18">
      <w:r>
        <w:t xml:space="preserve">Conclusions from the detailed analysis </w:t>
      </w:r>
      <w:r w:rsidR="00175A7A">
        <w:t>are:</w:t>
      </w:r>
    </w:p>
    <w:p w:rsidR="00175A7A" w:rsidRDefault="00175A7A" w:rsidP="00175A7A">
      <w:pPr>
        <w:pStyle w:val="ListParagraph"/>
        <w:numPr>
          <w:ilvl w:val="0"/>
          <w:numId w:val="1"/>
        </w:numPr>
      </w:pPr>
      <w:r>
        <w:t>Pay gaps between occupations tend to be significantly higher than those within them, particularly when the higher level occupational groups in the ASHE classification are broken down into sub-classifications;</w:t>
      </w:r>
    </w:p>
    <w:p w:rsidR="00175A7A" w:rsidRDefault="00175A7A" w:rsidP="00175A7A">
      <w:pPr>
        <w:pStyle w:val="ListParagraph"/>
        <w:numPr>
          <w:ilvl w:val="0"/>
          <w:numId w:val="1"/>
        </w:numPr>
      </w:pPr>
      <w:r>
        <w:t>For full time workers there is a strong trend for men to be in the higher paid occupations and women in the lower paid;</w:t>
      </w:r>
    </w:p>
    <w:p w:rsidR="00175A7A" w:rsidRDefault="00175A7A" w:rsidP="00175A7A">
      <w:pPr>
        <w:pStyle w:val="ListParagraph"/>
        <w:numPr>
          <w:ilvl w:val="0"/>
          <w:numId w:val="1"/>
        </w:numPr>
      </w:pPr>
      <w:r>
        <w:t>Within occupations there is usually a trend for pay gaps to be higher at the higher end of pay distributions and the median pay gap gives an incomplete picture.</w:t>
      </w:r>
    </w:p>
    <w:p w:rsidR="00674E0A" w:rsidRDefault="00674E0A" w:rsidP="00870A18"/>
    <w:sectPr w:rsidR="00674E0A" w:rsidSect="00E75A6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35" w:rsidRDefault="00160135" w:rsidP="00870A18">
      <w:pPr>
        <w:spacing w:after="0" w:line="240" w:lineRule="auto"/>
      </w:pPr>
      <w:r>
        <w:separator/>
      </w:r>
    </w:p>
  </w:endnote>
  <w:endnote w:type="continuationSeparator" w:id="0">
    <w:p w:rsidR="00160135" w:rsidRDefault="00160135" w:rsidP="00870A18">
      <w:pPr>
        <w:spacing w:after="0" w:line="240" w:lineRule="auto"/>
      </w:pPr>
      <w:r>
        <w:continuationSeparator/>
      </w:r>
    </w:p>
  </w:endnote>
  <w:endnote w:id="1">
    <w:p w:rsidR="00870A18" w:rsidRDefault="00870A18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72022F">
          <w:rPr>
            <w:rStyle w:val="Hyperlink"/>
          </w:rPr>
          <w:t>http://www.ons.gov.uk/ons/rel/ashe/annual-survey-of-hours-and-earnings/2014-provisional-results/2014-provisional-table-14.zip</w:t>
        </w:r>
      </w:hyperlink>
      <w:r>
        <w:t>; Table 14.5a giving Gross Hourly Pay for example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35" w:rsidRDefault="00160135" w:rsidP="00870A18">
      <w:pPr>
        <w:spacing w:after="0" w:line="240" w:lineRule="auto"/>
      </w:pPr>
      <w:r>
        <w:separator/>
      </w:r>
    </w:p>
  </w:footnote>
  <w:footnote w:type="continuationSeparator" w:id="0">
    <w:p w:rsidR="00160135" w:rsidRDefault="00160135" w:rsidP="0087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3AB"/>
    <w:multiLevelType w:val="hybridMultilevel"/>
    <w:tmpl w:val="69E4D7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CD"/>
    <w:rsid w:val="00004590"/>
    <w:rsid w:val="000063FF"/>
    <w:rsid w:val="000356A6"/>
    <w:rsid w:val="000357A0"/>
    <w:rsid w:val="00135CA6"/>
    <w:rsid w:val="00160135"/>
    <w:rsid w:val="0017293C"/>
    <w:rsid w:val="00175A7A"/>
    <w:rsid w:val="001821BB"/>
    <w:rsid w:val="001A5C0C"/>
    <w:rsid w:val="001C6ED1"/>
    <w:rsid w:val="00243D5D"/>
    <w:rsid w:val="00250F1A"/>
    <w:rsid w:val="00260947"/>
    <w:rsid w:val="003103EF"/>
    <w:rsid w:val="003A5EF9"/>
    <w:rsid w:val="003A6D8B"/>
    <w:rsid w:val="004143C3"/>
    <w:rsid w:val="004667E4"/>
    <w:rsid w:val="004E64E2"/>
    <w:rsid w:val="004F67DD"/>
    <w:rsid w:val="0055628C"/>
    <w:rsid w:val="005C3EF7"/>
    <w:rsid w:val="005C7455"/>
    <w:rsid w:val="00674E0A"/>
    <w:rsid w:val="006B5E7E"/>
    <w:rsid w:val="007F0B5B"/>
    <w:rsid w:val="00855F63"/>
    <w:rsid w:val="00870A18"/>
    <w:rsid w:val="008F4EA8"/>
    <w:rsid w:val="00947E04"/>
    <w:rsid w:val="00956A30"/>
    <w:rsid w:val="00A02A28"/>
    <w:rsid w:val="00A21CAF"/>
    <w:rsid w:val="00A325CD"/>
    <w:rsid w:val="00B1473D"/>
    <w:rsid w:val="00B65DE0"/>
    <w:rsid w:val="00B958C3"/>
    <w:rsid w:val="00BE64CD"/>
    <w:rsid w:val="00BF4A00"/>
    <w:rsid w:val="00BF5E04"/>
    <w:rsid w:val="00C053F2"/>
    <w:rsid w:val="00C61268"/>
    <w:rsid w:val="00D07AC3"/>
    <w:rsid w:val="00D51505"/>
    <w:rsid w:val="00D82386"/>
    <w:rsid w:val="00DA1279"/>
    <w:rsid w:val="00DB4495"/>
    <w:rsid w:val="00E54F21"/>
    <w:rsid w:val="00E65F57"/>
    <w:rsid w:val="00E75A61"/>
    <w:rsid w:val="00E828FF"/>
    <w:rsid w:val="00E92E8E"/>
    <w:rsid w:val="00F112E9"/>
    <w:rsid w:val="00F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A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0A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0A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4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4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A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0A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0A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s.gov.uk/ons/rel/ashe/annual-survey-of-hours-and-earnings/2014-provisional-results/2014-provisional-table-14.zi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ckie\Documents\SW%20Equalities\FPSW%20Gender%20network\Pay%20Gap%20information\Various%20Estimates%20of%20the%20Pay%20Ga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Figure A1.1: Distribution of Pay for Managers Directors and Senior Officials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Distributions!$B$43</c:f>
              <c:strCache>
                <c:ptCount val="1"/>
                <c:pt idx="0">
                  <c:v>Full time Men (1420k jobs)</c:v>
                </c:pt>
              </c:strCache>
            </c:strRef>
          </c:tx>
          <c:marker>
            <c:symbol val="none"/>
          </c:marker>
          <c:cat>
            <c:numRef>
              <c:f>Distributions!$A$44:$A$54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Distributions!$B$44:$B$54</c:f>
              <c:numCache>
                <c:formatCode>#,##0.00</c:formatCode>
                <c:ptCount val="11"/>
                <c:pt idx="0">
                  <c:v>9.58</c:v>
                </c:pt>
                <c:pt idx="1">
                  <c:v>12.4</c:v>
                </c:pt>
                <c:pt idx="2">
                  <c:v>13.8</c:v>
                </c:pt>
                <c:pt idx="3">
                  <c:v>15.14</c:v>
                </c:pt>
                <c:pt idx="4">
                  <c:v>17.95</c:v>
                </c:pt>
                <c:pt idx="5">
                  <c:v>21.15</c:v>
                </c:pt>
                <c:pt idx="6">
                  <c:v>25.14</c:v>
                </c:pt>
                <c:pt idx="7">
                  <c:v>30.25</c:v>
                </c:pt>
                <c:pt idx="8">
                  <c:v>33.54</c:v>
                </c:pt>
                <c:pt idx="9">
                  <c:v>37.67</c:v>
                </c:pt>
                <c:pt idx="10">
                  <c:v>50.04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Distributions!$C$43</c:f>
              <c:strCache>
                <c:ptCount val="1"/>
                <c:pt idx="0">
                  <c:v>Full time Women (630k jobs)</c:v>
                </c:pt>
              </c:strCache>
            </c:strRef>
          </c:tx>
          <c:marker>
            <c:symbol val="none"/>
          </c:marker>
          <c:cat>
            <c:numRef>
              <c:f>Distributions!$A$44:$A$54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Distributions!$C$44:$C$54</c:f>
              <c:numCache>
                <c:formatCode>#,##0.00</c:formatCode>
                <c:ptCount val="11"/>
                <c:pt idx="0">
                  <c:v>8.59</c:v>
                </c:pt>
                <c:pt idx="1">
                  <c:v>10.58</c:v>
                </c:pt>
                <c:pt idx="2">
                  <c:v>11.93</c:v>
                </c:pt>
                <c:pt idx="3">
                  <c:v>13.05</c:v>
                </c:pt>
                <c:pt idx="4">
                  <c:v>15.23</c:v>
                </c:pt>
                <c:pt idx="5">
                  <c:v>17.73</c:v>
                </c:pt>
                <c:pt idx="6">
                  <c:v>20.61</c:v>
                </c:pt>
                <c:pt idx="7">
                  <c:v>24.22</c:v>
                </c:pt>
                <c:pt idx="8">
                  <c:v>26.81</c:v>
                </c:pt>
                <c:pt idx="9">
                  <c:v>29.6</c:v>
                </c:pt>
                <c:pt idx="10">
                  <c:v>38.299999999999997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Distributions!$D$43</c:f>
              <c:strCache>
                <c:ptCount val="1"/>
                <c:pt idx="0">
                  <c:v>Part time Women (135k jobs)</c:v>
                </c:pt>
              </c:strCache>
            </c:strRef>
          </c:tx>
          <c:marker>
            <c:symbol val="none"/>
          </c:marker>
          <c:cat>
            <c:numRef>
              <c:f>Distributions!$A$44:$A$54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Distributions!$D$44:$D$54</c:f>
              <c:numCache>
                <c:formatCode>#,##0.00</c:formatCode>
                <c:ptCount val="11"/>
                <c:pt idx="0">
                  <c:v>7.2</c:v>
                </c:pt>
                <c:pt idx="1">
                  <c:v>8.31</c:v>
                </c:pt>
                <c:pt idx="2">
                  <c:v>9.15</c:v>
                </c:pt>
                <c:pt idx="3">
                  <c:v>9.93</c:v>
                </c:pt>
                <c:pt idx="4">
                  <c:v>11.55</c:v>
                </c:pt>
                <c:pt idx="5">
                  <c:v>13.98</c:v>
                </c:pt>
                <c:pt idx="6">
                  <c:v>16.579999999999998</c:v>
                </c:pt>
                <c:pt idx="7">
                  <c:v>19.170000000000002</c:v>
                </c:pt>
                <c:pt idx="8">
                  <c:v>20.68</c:v>
                </c:pt>
                <c:pt idx="9">
                  <c:v>22.64</c:v>
                </c:pt>
                <c:pt idx="10">
                  <c:v>31.66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82240"/>
        <c:axId val="44284160"/>
      </c:lineChart>
      <c:catAx>
        <c:axId val="44282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of people earning less than amount shown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4284160"/>
        <c:crosses val="autoZero"/>
        <c:auto val="1"/>
        <c:lblAlgn val="ctr"/>
        <c:lblOffset val="100"/>
        <c:noMultiLvlLbl val="0"/>
      </c:catAx>
      <c:valAx>
        <c:axId val="44284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442822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Figure A1.2: Numbers of Jobs by occupation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Sales!$B$23</c:f>
              <c:strCache>
                <c:ptCount val="1"/>
                <c:pt idx="0">
                  <c:v>FT men</c:v>
                </c:pt>
              </c:strCache>
            </c:strRef>
          </c:tx>
          <c:invertIfNegative val="0"/>
          <c:cat>
            <c:strRef>
              <c:f>Sales!$A$24:$A$25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Sales!$B$24:$B$25</c:f>
              <c:numCache>
                <c:formatCode>#,##0</c:formatCode>
                <c:ptCount val="2"/>
                <c:pt idx="0">
                  <c:v>550</c:v>
                </c:pt>
                <c:pt idx="1">
                  <c:v>284</c:v>
                </c:pt>
              </c:numCache>
            </c:numRef>
          </c:val>
        </c:ser>
        <c:ser>
          <c:idx val="1"/>
          <c:order val="1"/>
          <c:tx>
            <c:strRef>
              <c:f>Sales!$C$23</c:f>
              <c:strCache>
                <c:ptCount val="1"/>
                <c:pt idx="0">
                  <c:v>FT Women</c:v>
                </c:pt>
              </c:strCache>
            </c:strRef>
          </c:tx>
          <c:invertIfNegative val="0"/>
          <c:cat>
            <c:strRef>
              <c:f>Sales!$A$24:$A$25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Sales!$C$24:$C$25</c:f>
              <c:numCache>
                <c:formatCode>#,##0</c:formatCode>
                <c:ptCount val="2"/>
                <c:pt idx="0">
                  <c:v>326</c:v>
                </c:pt>
                <c:pt idx="1">
                  <c:v>286</c:v>
                </c:pt>
              </c:numCache>
            </c:numRef>
          </c:val>
        </c:ser>
        <c:ser>
          <c:idx val="2"/>
          <c:order val="2"/>
          <c:tx>
            <c:strRef>
              <c:f>Sales!$D$23</c:f>
              <c:strCache>
                <c:ptCount val="1"/>
                <c:pt idx="0">
                  <c:v>PT Women</c:v>
                </c:pt>
              </c:strCache>
            </c:strRef>
          </c:tx>
          <c:invertIfNegative val="0"/>
          <c:cat>
            <c:strRef>
              <c:f>Sales!$A$24:$A$25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Sales!$D$24:$D$25</c:f>
              <c:numCache>
                <c:formatCode>#,##0</c:formatCode>
                <c:ptCount val="2"/>
                <c:pt idx="0">
                  <c:v>62</c:v>
                </c:pt>
                <c:pt idx="1">
                  <c:v>679</c:v>
                </c:pt>
              </c:numCache>
            </c:numRef>
          </c:val>
        </c:ser>
        <c:ser>
          <c:idx val="3"/>
          <c:order val="3"/>
          <c:tx>
            <c:strRef>
              <c:f>Sales!$E$23</c:f>
              <c:strCache>
                <c:ptCount val="1"/>
                <c:pt idx="0">
                  <c:v>PT Men</c:v>
                </c:pt>
              </c:strCache>
            </c:strRef>
          </c:tx>
          <c:invertIfNegative val="0"/>
          <c:cat>
            <c:strRef>
              <c:f>Sales!$A$24:$A$25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Sales!$E$24:$E$25</c:f>
              <c:numCache>
                <c:formatCode>#,##0</c:formatCode>
                <c:ptCount val="2"/>
                <c:pt idx="0">
                  <c:v>20</c:v>
                </c:pt>
                <c:pt idx="1">
                  <c:v>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227392"/>
        <c:axId val="45665664"/>
      </c:barChart>
      <c:catAx>
        <c:axId val="4522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45665664"/>
        <c:crosses val="autoZero"/>
        <c:auto val="1"/>
        <c:lblAlgn val="ctr"/>
        <c:lblOffset val="100"/>
        <c:noMultiLvlLbl val="0"/>
      </c:catAx>
      <c:valAx>
        <c:axId val="45665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Jobs (Thousands)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452273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Figure A1.3: Comparison Pay Gaps within and between Occupations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Sales!$F$18</c:f>
              <c:strCache>
                <c:ptCount val="1"/>
                <c:pt idx="0">
                  <c:v>FT Pay Gap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Sales!$A$19:$A$20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Sales!$F$19:$F$20</c:f>
              <c:numCache>
                <c:formatCode>0.0%</c:formatCode>
                <c:ptCount val="2"/>
                <c:pt idx="0">
                  <c:v>0.15022172949002213</c:v>
                </c:pt>
                <c:pt idx="1">
                  <c:v>6.0975609756097456E-2</c:v>
                </c:pt>
              </c:numCache>
            </c:numRef>
          </c:val>
        </c:ser>
        <c:ser>
          <c:idx val="1"/>
          <c:order val="1"/>
          <c:tx>
            <c:strRef>
              <c:f>Sales!$G$18</c:f>
              <c:strCache>
                <c:ptCount val="1"/>
                <c:pt idx="0">
                  <c:v>PT Pay Gap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Sales!$A$19:$A$20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Sales!$G$19:$G$20</c:f>
              <c:numCache>
                <c:formatCode>0.0%</c:formatCode>
                <c:ptCount val="2"/>
                <c:pt idx="0">
                  <c:v>0.39523281596452325</c:v>
                </c:pt>
                <c:pt idx="1">
                  <c:v>0.16219512195121943</c:v>
                </c:pt>
              </c:numCache>
            </c:numRef>
          </c:val>
        </c:ser>
        <c:ser>
          <c:idx val="2"/>
          <c:order val="2"/>
          <c:tx>
            <c:strRef>
              <c:f>Sales!$H$18</c:f>
              <c:strCache>
                <c:ptCount val="1"/>
                <c:pt idx="0">
                  <c:v>Pay Gap between occupations (FT Women)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Sales!$A$19:$A$20</c:f>
              <c:strCache>
                <c:ptCount val="2"/>
                <c:pt idx="0">
                  <c:v>    Sales, marketing and related associate professionals</c:v>
                </c:pt>
                <c:pt idx="1">
                  <c:v>  Sales occupations</c:v>
                </c:pt>
              </c:strCache>
            </c:strRef>
          </c:cat>
          <c:val>
            <c:numRef>
              <c:f>Sales!$H$19:$H$20</c:f>
              <c:numCache>
                <c:formatCode>0.00%</c:formatCode>
                <c:ptCount val="2"/>
                <c:pt idx="0">
                  <c:v>0.498</c:v>
                </c:pt>
                <c:pt idx="1">
                  <c:v>0.498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892160"/>
        <c:axId val="49463296"/>
      </c:barChart>
      <c:catAx>
        <c:axId val="4889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49463296"/>
        <c:crosses val="autoZero"/>
        <c:auto val="1"/>
        <c:lblAlgn val="ctr"/>
        <c:lblOffset val="100"/>
        <c:noMultiLvlLbl val="0"/>
      </c:catAx>
      <c:valAx>
        <c:axId val="494632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Gap in median gross hourly pay</a:t>
                </a:r>
              </a:p>
            </c:rich>
          </c:tx>
          <c:overlay val="0"/>
        </c:title>
        <c:numFmt formatCode="0.0%" sourceLinked="1"/>
        <c:majorTickMark val="out"/>
        <c:minorTickMark val="none"/>
        <c:tickLblPos val="nextTo"/>
        <c:crossAx val="4889216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Figure A1.4:</a:t>
            </a:r>
            <a:r>
              <a:rPr lang="en-US" sz="1200" baseline="0"/>
              <a:t> </a:t>
            </a:r>
            <a:r>
              <a:rPr lang="en-US" sz="1200"/>
              <a:t>Pay distributions in sales professions and occupations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Sales!$B$43</c:f>
              <c:strCache>
                <c:ptCount val="1"/>
                <c:pt idx="0">
                  <c:v>FT Male Professionals</c:v>
                </c:pt>
              </c:strCache>
            </c:strRef>
          </c:tx>
          <c:marker>
            <c:symbol val="none"/>
          </c:marker>
          <c:cat>
            <c:numRef>
              <c:f>Sales!$A$44:$A$54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Sales!$B$44:$B$54</c:f>
              <c:numCache>
                <c:formatCode>#,##0.00</c:formatCode>
                <c:ptCount val="11"/>
                <c:pt idx="0">
                  <c:v>9.6199999999999992</c:v>
                </c:pt>
                <c:pt idx="1">
                  <c:v>11.98</c:v>
                </c:pt>
                <c:pt idx="2">
                  <c:v>12.94</c:v>
                </c:pt>
                <c:pt idx="3">
                  <c:v>14.07</c:v>
                </c:pt>
                <c:pt idx="4">
                  <c:v>15.97</c:v>
                </c:pt>
                <c:pt idx="5">
                  <c:v>18.04</c:v>
                </c:pt>
                <c:pt idx="6">
                  <c:v>20.440000000000001</c:v>
                </c:pt>
                <c:pt idx="7">
                  <c:v>23.34</c:v>
                </c:pt>
                <c:pt idx="8">
                  <c:v>25.3</c:v>
                </c:pt>
                <c:pt idx="9">
                  <c:v>27.54</c:v>
                </c:pt>
                <c:pt idx="10">
                  <c:v>34.83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Sales!$C$43</c:f>
              <c:strCache>
                <c:ptCount val="1"/>
                <c:pt idx="0">
                  <c:v>FT Female Professionals</c:v>
                </c:pt>
              </c:strCache>
            </c:strRef>
          </c:tx>
          <c:marker>
            <c:symbol val="none"/>
          </c:marker>
          <c:cat>
            <c:numRef>
              <c:f>Sales!$A$44:$A$54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Sales!$C$44:$C$54</c:f>
              <c:numCache>
                <c:formatCode>#,##0.00</c:formatCode>
                <c:ptCount val="11"/>
                <c:pt idx="0">
                  <c:v>9</c:v>
                </c:pt>
                <c:pt idx="1">
                  <c:v>10.73</c:v>
                </c:pt>
                <c:pt idx="2">
                  <c:v>11.43</c:v>
                </c:pt>
                <c:pt idx="3">
                  <c:v>12.09</c:v>
                </c:pt>
                <c:pt idx="4">
                  <c:v>13.65</c:v>
                </c:pt>
                <c:pt idx="5">
                  <c:v>15.33</c:v>
                </c:pt>
                <c:pt idx="6">
                  <c:v>16.920000000000002</c:v>
                </c:pt>
                <c:pt idx="7">
                  <c:v>19.16</c:v>
                </c:pt>
                <c:pt idx="8">
                  <c:v>20.440000000000001</c:v>
                </c:pt>
                <c:pt idx="9">
                  <c:v>21.86</c:v>
                </c:pt>
                <c:pt idx="10">
                  <c:v>27.92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Sales!$D$43</c:f>
              <c:strCache>
                <c:ptCount val="1"/>
                <c:pt idx="0">
                  <c:v>PT Female Professionals</c:v>
                </c:pt>
              </c:strCache>
            </c:strRef>
          </c:tx>
          <c:marker>
            <c:symbol val="none"/>
          </c:marker>
          <c:cat>
            <c:numRef>
              <c:f>Sales!$A$44:$A$54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Sales!$D$44:$D$54</c:f>
              <c:numCache>
                <c:formatCode>#,##0.00</c:formatCode>
                <c:ptCount val="11"/>
                <c:pt idx="0">
                  <c:v>6.6</c:v>
                </c:pt>
                <c:pt idx="1">
                  <c:v>7.54</c:v>
                </c:pt>
                <c:pt idx="2">
                  <c:v>8.26</c:v>
                </c:pt>
                <c:pt idx="3">
                  <c:v>8.91</c:v>
                </c:pt>
                <c:pt idx="4">
                  <c:v>10</c:v>
                </c:pt>
                <c:pt idx="5">
                  <c:v>10.91</c:v>
                </c:pt>
                <c:pt idx="6">
                  <c:v>12.49</c:v>
                </c:pt>
                <c:pt idx="7">
                  <c:v>14.58</c:v>
                </c:pt>
                <c:pt idx="8">
                  <c:v>16.100000000000001</c:v>
                </c:pt>
                <c:pt idx="9">
                  <c:v>17.03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Sales!$K$43</c:f>
              <c:strCache>
                <c:ptCount val="1"/>
                <c:pt idx="0">
                  <c:v>FT men SO</c:v>
                </c:pt>
              </c:strCache>
            </c:strRef>
          </c:tx>
          <c:marker>
            <c:symbol val="none"/>
          </c:marker>
          <c:cat>
            <c:numRef>
              <c:f>Sales!$A$44:$A$54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Sales!$K$44:$K$54</c:f>
              <c:numCache>
                <c:formatCode>#,##0.00</c:formatCode>
                <c:ptCount val="11"/>
                <c:pt idx="0">
                  <c:v>6.41</c:v>
                </c:pt>
                <c:pt idx="1">
                  <c:v>6.92</c:v>
                </c:pt>
                <c:pt idx="2">
                  <c:v>7.1</c:v>
                </c:pt>
                <c:pt idx="3">
                  <c:v>7.27</c:v>
                </c:pt>
                <c:pt idx="4">
                  <c:v>7.71</c:v>
                </c:pt>
                <c:pt idx="5">
                  <c:v>8.1999999999999993</c:v>
                </c:pt>
                <c:pt idx="6">
                  <c:v>8.8000000000000007</c:v>
                </c:pt>
                <c:pt idx="7">
                  <c:v>9.5500000000000007</c:v>
                </c:pt>
                <c:pt idx="8">
                  <c:v>10.07</c:v>
                </c:pt>
                <c:pt idx="9">
                  <c:v>10.85</c:v>
                </c:pt>
                <c:pt idx="10">
                  <c:v>13.22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Sales!$L$43</c:f>
              <c:strCache>
                <c:ptCount val="1"/>
                <c:pt idx="0">
                  <c:v>FT Women SO</c:v>
                </c:pt>
              </c:strCache>
            </c:strRef>
          </c:tx>
          <c:marker>
            <c:symbol val="none"/>
          </c:marker>
          <c:cat>
            <c:numRef>
              <c:f>Sales!$A$44:$A$54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Sales!$L$44:$L$54</c:f>
              <c:numCache>
                <c:formatCode>#,##0.00</c:formatCode>
                <c:ptCount val="11"/>
                <c:pt idx="0">
                  <c:v>6.35</c:v>
                </c:pt>
                <c:pt idx="1">
                  <c:v>6.75</c:v>
                </c:pt>
                <c:pt idx="2">
                  <c:v>6.89</c:v>
                </c:pt>
                <c:pt idx="3">
                  <c:v>7</c:v>
                </c:pt>
                <c:pt idx="4">
                  <c:v>7.33</c:v>
                </c:pt>
                <c:pt idx="5">
                  <c:v>7.7</c:v>
                </c:pt>
                <c:pt idx="6">
                  <c:v>8.17</c:v>
                </c:pt>
                <c:pt idx="7">
                  <c:v>8.83</c:v>
                </c:pt>
                <c:pt idx="8">
                  <c:v>9.2200000000000006</c:v>
                </c:pt>
                <c:pt idx="9">
                  <c:v>9.77</c:v>
                </c:pt>
                <c:pt idx="10">
                  <c:v>11.5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Sales!$M$43</c:f>
              <c:strCache>
                <c:ptCount val="1"/>
                <c:pt idx="0">
                  <c:v>PT Women SO</c:v>
                </c:pt>
              </c:strCache>
            </c:strRef>
          </c:tx>
          <c:marker>
            <c:symbol val="none"/>
          </c:marker>
          <c:cat>
            <c:numRef>
              <c:f>Sales!$A$44:$A$54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Sales!$M$44:$M$54</c:f>
              <c:numCache>
                <c:formatCode>#,##0.00</c:formatCode>
                <c:ptCount val="11"/>
                <c:pt idx="0">
                  <c:v>6.31</c:v>
                </c:pt>
                <c:pt idx="1">
                  <c:v>6.31</c:v>
                </c:pt>
                <c:pt idx="2">
                  <c:v>6.35</c:v>
                </c:pt>
                <c:pt idx="3">
                  <c:v>6.4</c:v>
                </c:pt>
                <c:pt idx="4">
                  <c:v>6.6</c:v>
                </c:pt>
                <c:pt idx="5">
                  <c:v>6.87</c:v>
                </c:pt>
                <c:pt idx="6">
                  <c:v>7.05</c:v>
                </c:pt>
                <c:pt idx="7">
                  <c:v>7.4</c:v>
                </c:pt>
                <c:pt idx="8">
                  <c:v>7.65</c:v>
                </c:pt>
                <c:pt idx="9">
                  <c:v>8</c:v>
                </c:pt>
                <c:pt idx="10">
                  <c:v>9.15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194880"/>
        <c:axId val="51500160"/>
      </c:lineChart>
      <c:catAx>
        <c:axId val="51194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people earning less than amount shown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1500160"/>
        <c:crosses val="autoZero"/>
        <c:auto val="1"/>
        <c:lblAlgn val="ctr"/>
        <c:lblOffset val="100"/>
        <c:noMultiLvlLbl val="0"/>
      </c:catAx>
      <c:valAx>
        <c:axId val="51500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Pay, £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511948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Figure A1.5: Distribution of Pay for Teaching and Educational Professionals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Distributions!$B$57</c:f>
              <c:strCache>
                <c:ptCount val="1"/>
                <c:pt idx="0">
                  <c:v>Full time Men (371k jobs)</c:v>
                </c:pt>
              </c:strCache>
            </c:strRef>
          </c:tx>
          <c:marker>
            <c:symbol val="none"/>
          </c:marker>
          <c:cat>
            <c:numRef>
              <c:f>Distributions!$A$58:$A$68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Distributions!$B$58:$B$68</c:f>
              <c:numCache>
                <c:formatCode>#,##0.00</c:formatCode>
                <c:ptCount val="11"/>
                <c:pt idx="0">
                  <c:v>13.9</c:v>
                </c:pt>
                <c:pt idx="1">
                  <c:v>17</c:v>
                </c:pt>
                <c:pt idx="2">
                  <c:v>17.93</c:v>
                </c:pt>
                <c:pt idx="3">
                  <c:v>18.91</c:v>
                </c:pt>
                <c:pt idx="4">
                  <c:v>20.95</c:v>
                </c:pt>
                <c:pt idx="5">
                  <c:v>22.69</c:v>
                </c:pt>
                <c:pt idx="6">
                  <c:v>24.41</c:v>
                </c:pt>
                <c:pt idx="7">
                  <c:v>26.24</c:v>
                </c:pt>
                <c:pt idx="8">
                  <c:v>27.59</c:v>
                </c:pt>
                <c:pt idx="9">
                  <c:v>29.22</c:v>
                </c:pt>
                <c:pt idx="10">
                  <c:v>34.22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Distributions!$C$57</c:f>
              <c:strCache>
                <c:ptCount val="1"/>
                <c:pt idx="0">
                  <c:v>Full time Women (568k jobs)</c:v>
                </c:pt>
              </c:strCache>
            </c:strRef>
          </c:tx>
          <c:marker>
            <c:symbol val="none"/>
          </c:marker>
          <c:cat>
            <c:numRef>
              <c:f>Distributions!$A$58:$A$68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Distributions!$C$58:$C$68</c:f>
              <c:numCache>
                <c:formatCode>#,##0.00</c:formatCode>
                <c:ptCount val="11"/>
                <c:pt idx="0">
                  <c:v>12.86</c:v>
                </c:pt>
                <c:pt idx="1">
                  <c:v>15.17</c:v>
                </c:pt>
                <c:pt idx="2">
                  <c:v>16.22</c:v>
                </c:pt>
                <c:pt idx="3">
                  <c:v>17.440000000000001</c:v>
                </c:pt>
                <c:pt idx="4">
                  <c:v>19.100000000000001</c:v>
                </c:pt>
                <c:pt idx="5">
                  <c:v>20.94</c:v>
                </c:pt>
                <c:pt idx="6">
                  <c:v>22.2</c:v>
                </c:pt>
                <c:pt idx="7">
                  <c:v>23.93</c:v>
                </c:pt>
                <c:pt idx="8">
                  <c:v>24.84</c:v>
                </c:pt>
                <c:pt idx="9">
                  <c:v>26</c:v>
                </c:pt>
                <c:pt idx="10">
                  <c:v>29.43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Distributions!$D$57</c:f>
              <c:strCache>
                <c:ptCount val="1"/>
                <c:pt idx="0">
                  <c:v>Part time Women (310k jobs)</c:v>
                </c:pt>
              </c:strCache>
            </c:strRef>
          </c:tx>
          <c:marker>
            <c:symbol val="none"/>
          </c:marker>
          <c:cat>
            <c:numRef>
              <c:f>Distributions!$A$58:$A$68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Distributions!$D$58:$D$68</c:f>
              <c:numCache>
                <c:formatCode>#,##0.00</c:formatCode>
                <c:ptCount val="11"/>
                <c:pt idx="0">
                  <c:v>14</c:v>
                </c:pt>
                <c:pt idx="1">
                  <c:v>17.260000000000002</c:v>
                </c:pt>
                <c:pt idx="2">
                  <c:v>18.63</c:v>
                </c:pt>
                <c:pt idx="3">
                  <c:v>19.11</c:v>
                </c:pt>
                <c:pt idx="4">
                  <c:v>20.99</c:v>
                </c:pt>
                <c:pt idx="5">
                  <c:v>22.35</c:v>
                </c:pt>
                <c:pt idx="6">
                  <c:v>24.43</c:v>
                </c:pt>
                <c:pt idx="7">
                  <c:v>26.53</c:v>
                </c:pt>
                <c:pt idx="8">
                  <c:v>27.98</c:v>
                </c:pt>
                <c:pt idx="9">
                  <c:v>29.24</c:v>
                </c:pt>
                <c:pt idx="10">
                  <c:v>34.06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571392"/>
        <c:axId val="115331840"/>
      </c:lineChart>
      <c:catAx>
        <c:axId val="100571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00"/>
                </a:pPr>
                <a:r>
                  <a:rPr lang="en-US" sz="1000" b="1" i="0" baseline="0">
                    <a:effectLst/>
                  </a:rPr>
                  <a:t>% of people earning less than amount shown</a:t>
                </a:r>
                <a:endParaRPr lang="en-GB" sz="400"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5331840"/>
        <c:crosses val="autoZero"/>
        <c:auto val="1"/>
        <c:lblAlgn val="ctr"/>
        <c:lblOffset val="100"/>
        <c:noMultiLvlLbl val="0"/>
      </c:catAx>
      <c:valAx>
        <c:axId val="115331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1005713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Figure A1.6: Distribution of Pay for Health Professionals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Distributions!$B$71</c:f>
              <c:strCache>
                <c:ptCount val="1"/>
                <c:pt idx="0">
                  <c:v>Full time Men (268k jobs)</c:v>
                </c:pt>
              </c:strCache>
            </c:strRef>
          </c:tx>
          <c:marker>
            <c:symbol val="none"/>
          </c:marker>
          <c:cat>
            <c:numRef>
              <c:f>Distributions!$A$72:$A$82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Distributions!$B$72:$B$82</c:f>
              <c:numCache>
                <c:formatCode>#,##0.00</c:formatCode>
                <c:ptCount val="11"/>
                <c:pt idx="0">
                  <c:v>13</c:v>
                </c:pt>
                <c:pt idx="1">
                  <c:v>15.03</c:v>
                </c:pt>
                <c:pt idx="2">
                  <c:v>15.97</c:v>
                </c:pt>
                <c:pt idx="3">
                  <c:v>16.82</c:v>
                </c:pt>
                <c:pt idx="4">
                  <c:v>19.16</c:v>
                </c:pt>
                <c:pt idx="5">
                  <c:v>21</c:v>
                </c:pt>
                <c:pt idx="6">
                  <c:v>23.37</c:v>
                </c:pt>
                <c:pt idx="7">
                  <c:v>28.14</c:v>
                </c:pt>
                <c:pt idx="8">
                  <c:v>31.85</c:v>
                </c:pt>
                <c:pt idx="9">
                  <c:v>36.39</c:v>
                </c:pt>
                <c:pt idx="10">
                  <c:v>49.07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Distributions!$C$71</c:f>
              <c:strCache>
                <c:ptCount val="1"/>
                <c:pt idx="0">
                  <c:v>Full time Women (666k jobs)</c:v>
                </c:pt>
              </c:strCache>
            </c:strRef>
          </c:tx>
          <c:marker>
            <c:symbol val="none"/>
          </c:marker>
          <c:cat>
            <c:numRef>
              <c:f>Distributions!$A$72:$A$82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Distributions!$C$72:$C$82</c:f>
              <c:numCache>
                <c:formatCode>#,##0.00</c:formatCode>
                <c:ptCount val="11"/>
                <c:pt idx="0">
                  <c:v>11.87</c:v>
                </c:pt>
                <c:pt idx="1">
                  <c:v>13.48</c:v>
                </c:pt>
                <c:pt idx="2">
                  <c:v>14.21</c:v>
                </c:pt>
                <c:pt idx="3">
                  <c:v>14.55</c:v>
                </c:pt>
                <c:pt idx="4">
                  <c:v>15.73</c:v>
                </c:pt>
                <c:pt idx="5">
                  <c:v>17.05</c:v>
                </c:pt>
                <c:pt idx="6">
                  <c:v>18.18</c:v>
                </c:pt>
                <c:pt idx="7">
                  <c:v>19.91</c:v>
                </c:pt>
                <c:pt idx="8">
                  <c:v>20.73</c:v>
                </c:pt>
                <c:pt idx="9">
                  <c:v>21.39</c:v>
                </c:pt>
                <c:pt idx="10">
                  <c:v>24.98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Distributions!$D$71</c:f>
              <c:strCache>
                <c:ptCount val="1"/>
                <c:pt idx="0">
                  <c:v>Part time Women (404k jobs)</c:v>
                </c:pt>
              </c:strCache>
            </c:strRef>
          </c:tx>
          <c:marker>
            <c:symbol val="none"/>
          </c:marker>
          <c:cat>
            <c:numRef>
              <c:f>Distributions!$A$72:$A$82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Distributions!$D$72:$D$82</c:f>
              <c:numCache>
                <c:formatCode>#,##0.00</c:formatCode>
                <c:ptCount val="11"/>
                <c:pt idx="0">
                  <c:v>12.24</c:v>
                </c:pt>
                <c:pt idx="1">
                  <c:v>14</c:v>
                </c:pt>
                <c:pt idx="2">
                  <c:v>14.27</c:v>
                </c:pt>
                <c:pt idx="3">
                  <c:v>14.7</c:v>
                </c:pt>
                <c:pt idx="4">
                  <c:v>16.03</c:v>
                </c:pt>
                <c:pt idx="5">
                  <c:v>17.260000000000002</c:v>
                </c:pt>
                <c:pt idx="6">
                  <c:v>17.98</c:v>
                </c:pt>
                <c:pt idx="7">
                  <c:v>19.68</c:v>
                </c:pt>
                <c:pt idx="8">
                  <c:v>20.74</c:v>
                </c:pt>
                <c:pt idx="9">
                  <c:v>21.61</c:v>
                </c:pt>
                <c:pt idx="10">
                  <c:v>26.1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824128"/>
        <c:axId val="115835264"/>
      </c:lineChart>
      <c:catAx>
        <c:axId val="115824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of people earning less than amount shown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5835264"/>
        <c:crosses val="autoZero"/>
        <c:auto val="1"/>
        <c:lblAlgn val="ctr"/>
        <c:lblOffset val="100"/>
        <c:noMultiLvlLbl val="0"/>
      </c:catAx>
      <c:valAx>
        <c:axId val="11583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Hourly Pay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1158241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Figure A1.7: Pay distributions for Health professionals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'Health Professionals'!$B$166</c:f>
              <c:strCache>
                <c:ptCount val="1"/>
                <c:pt idx="0">
                  <c:v>Medical FT Men (116k jobs)</c:v>
                </c:pt>
              </c:strCache>
            </c:strRef>
          </c:tx>
          <c:marker>
            <c:symbol val="none"/>
          </c:marker>
          <c:cat>
            <c:numRef>
              <c:f>'Health Professionals'!$A$167:$A$177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'Health Professionals'!$B$167:$B$177</c:f>
              <c:numCache>
                <c:formatCode>#,##0.00</c:formatCode>
                <c:ptCount val="11"/>
                <c:pt idx="0">
                  <c:v>17.649999999999999</c:v>
                </c:pt>
                <c:pt idx="1">
                  <c:v>21.36</c:v>
                </c:pt>
                <c:pt idx="2">
                  <c:v>22.87</c:v>
                </c:pt>
                <c:pt idx="3">
                  <c:v>24.74</c:v>
                </c:pt>
                <c:pt idx="4">
                  <c:v>28.56</c:v>
                </c:pt>
                <c:pt idx="5">
                  <c:v>33.380000000000003</c:v>
                </c:pt>
                <c:pt idx="6">
                  <c:v>38.57</c:v>
                </c:pt>
                <c:pt idx="7">
                  <c:v>44.67</c:v>
                </c:pt>
                <c:pt idx="8">
                  <c:v>47.19</c:v>
                </c:pt>
                <c:pt idx="9">
                  <c:v>50.38</c:v>
                </c:pt>
                <c:pt idx="10">
                  <c:v>60.63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'Health Professionals'!$C$166</c:f>
              <c:strCache>
                <c:ptCount val="1"/>
                <c:pt idx="0">
                  <c:v>Medical FT Women (78k jobs)</c:v>
                </c:pt>
              </c:strCache>
            </c:strRef>
          </c:tx>
          <c:marker>
            <c:symbol val="none"/>
          </c:marker>
          <c:cat>
            <c:numRef>
              <c:f>'Health Professionals'!$A$167:$A$177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'Health Professionals'!$C$167:$C$177</c:f>
              <c:numCache>
                <c:formatCode>#,##0.00</c:formatCode>
                <c:ptCount val="11"/>
                <c:pt idx="0">
                  <c:v>14.38</c:v>
                </c:pt>
                <c:pt idx="1">
                  <c:v>17.739999999999998</c:v>
                </c:pt>
                <c:pt idx="2">
                  <c:v>19.59</c:v>
                </c:pt>
                <c:pt idx="3">
                  <c:v>20.28</c:v>
                </c:pt>
                <c:pt idx="4">
                  <c:v>22.41</c:v>
                </c:pt>
                <c:pt idx="5">
                  <c:v>24.34</c:v>
                </c:pt>
                <c:pt idx="6">
                  <c:v>28.22</c:v>
                </c:pt>
                <c:pt idx="7">
                  <c:v>33.89</c:v>
                </c:pt>
                <c:pt idx="8">
                  <c:v>37.520000000000003</c:v>
                </c:pt>
                <c:pt idx="9">
                  <c:v>41.7</c:v>
                </c:pt>
                <c:pt idx="10">
                  <c:v>48.94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'Health Professionals'!$D$166</c:f>
              <c:strCache>
                <c:ptCount val="1"/>
                <c:pt idx="0">
                  <c:v>Medical PT Women (27k jobs)</c:v>
                </c:pt>
              </c:strCache>
            </c:strRef>
          </c:tx>
          <c:marker>
            <c:symbol val="none"/>
          </c:marker>
          <c:cat>
            <c:numRef>
              <c:f>'Health Professionals'!$A$167:$A$177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'Health Professionals'!$D$167:$D$177</c:f>
              <c:numCache>
                <c:formatCode>#,##0.00</c:formatCode>
                <c:ptCount val="11"/>
                <c:pt idx="0">
                  <c:v>16.64</c:v>
                </c:pt>
                <c:pt idx="1">
                  <c:v>22.87</c:v>
                </c:pt>
                <c:pt idx="2">
                  <c:v>24.94</c:v>
                </c:pt>
                <c:pt idx="3">
                  <c:v>26.3</c:v>
                </c:pt>
                <c:pt idx="4">
                  <c:v>29.78</c:v>
                </c:pt>
                <c:pt idx="5">
                  <c:v>34.11</c:v>
                </c:pt>
                <c:pt idx="6">
                  <c:v>37.58</c:v>
                </c:pt>
                <c:pt idx="7">
                  <c:v>40.92</c:v>
                </c:pt>
                <c:pt idx="8">
                  <c:v>42.88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'Health Professionals'!$E$166</c:f>
              <c:strCache>
                <c:ptCount val="1"/>
                <c:pt idx="0">
                  <c:v>NurseFT men (94k jobs)</c:v>
                </c:pt>
              </c:strCache>
            </c:strRef>
          </c:tx>
          <c:marker>
            <c:symbol val="none"/>
          </c:marker>
          <c:cat>
            <c:numRef>
              <c:f>'Health Professionals'!$A$167:$A$177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'Health Professionals'!$E$167:$E$177</c:f>
              <c:numCache>
                <c:formatCode>#,##0.00</c:formatCode>
                <c:ptCount val="11"/>
                <c:pt idx="0">
                  <c:v>12.2</c:v>
                </c:pt>
                <c:pt idx="1">
                  <c:v>13.49</c:v>
                </c:pt>
                <c:pt idx="2">
                  <c:v>14.04</c:v>
                </c:pt>
                <c:pt idx="3">
                  <c:v>14.41</c:v>
                </c:pt>
                <c:pt idx="4">
                  <c:v>15.69</c:v>
                </c:pt>
                <c:pt idx="5">
                  <c:v>16.79</c:v>
                </c:pt>
                <c:pt idx="6">
                  <c:v>17.88</c:v>
                </c:pt>
                <c:pt idx="7">
                  <c:v>19.38</c:v>
                </c:pt>
                <c:pt idx="8">
                  <c:v>20.399999999999999</c:v>
                </c:pt>
                <c:pt idx="9">
                  <c:v>20.94</c:v>
                </c:pt>
                <c:pt idx="10">
                  <c:v>23.68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'Health Professionals'!$F$166</c:f>
              <c:strCache>
                <c:ptCount val="1"/>
                <c:pt idx="0">
                  <c:v>Nurse FT women (443k jobs)</c:v>
                </c:pt>
              </c:strCache>
            </c:strRef>
          </c:tx>
          <c:marker>
            <c:symbol val="none"/>
          </c:marker>
          <c:cat>
            <c:numRef>
              <c:f>'Health Professionals'!$A$167:$A$177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'Health Professionals'!$F$167:$F$177</c:f>
              <c:numCache>
                <c:formatCode>#,##0.00</c:formatCode>
                <c:ptCount val="11"/>
                <c:pt idx="0">
                  <c:v>11.88</c:v>
                </c:pt>
                <c:pt idx="1">
                  <c:v>13.2</c:v>
                </c:pt>
                <c:pt idx="2">
                  <c:v>13.81</c:v>
                </c:pt>
                <c:pt idx="3">
                  <c:v>14.27</c:v>
                </c:pt>
                <c:pt idx="4">
                  <c:v>15.09</c:v>
                </c:pt>
                <c:pt idx="5">
                  <c:v>16.22</c:v>
                </c:pt>
                <c:pt idx="6">
                  <c:v>17.440000000000001</c:v>
                </c:pt>
                <c:pt idx="7">
                  <c:v>18.29</c:v>
                </c:pt>
                <c:pt idx="8">
                  <c:v>18.97</c:v>
                </c:pt>
                <c:pt idx="9">
                  <c:v>19.98</c:v>
                </c:pt>
                <c:pt idx="10">
                  <c:v>21.57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'Health Professionals'!$G$166</c:f>
              <c:strCache>
                <c:ptCount val="1"/>
                <c:pt idx="0">
                  <c:v>Nurse PT women (282k jobs)</c:v>
                </c:pt>
              </c:strCache>
            </c:strRef>
          </c:tx>
          <c:marker>
            <c:symbol val="none"/>
          </c:marker>
          <c:cat>
            <c:numRef>
              <c:f>'Health Professionals'!$A$167:$A$177</c:f>
              <c:numCache>
                <c:formatCode>General</c:formatCode>
                <c:ptCount val="11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75</c:v>
                </c:pt>
                <c:pt idx="9">
                  <c:v>80</c:v>
                </c:pt>
                <c:pt idx="10">
                  <c:v>90</c:v>
                </c:pt>
              </c:numCache>
            </c:numRef>
          </c:cat>
          <c:val>
            <c:numRef>
              <c:f>'Health Professionals'!$G$167:$G$177</c:f>
              <c:numCache>
                <c:formatCode>#,##0.00</c:formatCode>
                <c:ptCount val="11"/>
                <c:pt idx="0">
                  <c:v>12</c:v>
                </c:pt>
                <c:pt idx="1">
                  <c:v>13.45</c:v>
                </c:pt>
                <c:pt idx="2">
                  <c:v>14.18</c:v>
                </c:pt>
                <c:pt idx="3">
                  <c:v>14.27</c:v>
                </c:pt>
                <c:pt idx="4">
                  <c:v>15.02</c:v>
                </c:pt>
                <c:pt idx="5">
                  <c:v>16.14</c:v>
                </c:pt>
                <c:pt idx="6">
                  <c:v>17.149999999999999</c:v>
                </c:pt>
                <c:pt idx="7">
                  <c:v>17.91</c:v>
                </c:pt>
                <c:pt idx="8">
                  <c:v>18.54</c:v>
                </c:pt>
                <c:pt idx="9">
                  <c:v>19.48</c:v>
                </c:pt>
                <c:pt idx="10">
                  <c:v>21.93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870976"/>
        <c:axId val="122212736"/>
      </c:lineChart>
      <c:catAx>
        <c:axId val="12187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people earning less than amount shown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2212736"/>
        <c:crosses val="autoZero"/>
        <c:auto val="1"/>
        <c:lblAlgn val="ctr"/>
        <c:lblOffset val="100"/>
        <c:noMultiLvlLbl val="0"/>
      </c:catAx>
      <c:valAx>
        <c:axId val="122212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Gross pay per hour, £</a:t>
                </a:r>
              </a:p>
            </c:rich>
          </c:tx>
          <c:overlay val="0"/>
        </c:title>
        <c:numFmt formatCode="#,##0.00" sourceLinked="1"/>
        <c:majorTickMark val="out"/>
        <c:minorTickMark val="none"/>
        <c:tickLblPos val="nextTo"/>
        <c:crossAx val="1218709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ACDF-4522-4365-9AAC-2E6BF4B8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19</cp:revision>
  <dcterms:created xsi:type="dcterms:W3CDTF">2015-11-26T15:36:00Z</dcterms:created>
  <dcterms:modified xsi:type="dcterms:W3CDTF">2016-01-30T00:15:00Z</dcterms:modified>
</cp:coreProperties>
</file>